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572FC" w14:textId="77777777" w:rsidR="0017344B" w:rsidRPr="008B0F0E" w:rsidRDefault="0017344B" w:rsidP="00001E22">
      <w:pPr>
        <w:jc w:val="center"/>
        <w:outlineLvl w:val="0"/>
        <w:rPr>
          <w:b/>
          <w:sz w:val="28"/>
          <w:szCs w:val="28"/>
        </w:rPr>
      </w:pPr>
      <w:proofErr w:type="spellStart"/>
      <w:r w:rsidRPr="008B0F0E">
        <w:rPr>
          <w:b/>
          <w:sz w:val="28"/>
          <w:szCs w:val="28"/>
        </w:rPr>
        <w:t>MoP</w:t>
      </w:r>
      <w:proofErr w:type="spellEnd"/>
      <w:r w:rsidR="00202650" w:rsidRPr="008B0F0E">
        <w:rPr>
          <w:b/>
          <w:sz w:val="28"/>
          <w:szCs w:val="28"/>
        </w:rPr>
        <w:t>/</w:t>
      </w:r>
      <w:proofErr w:type="spellStart"/>
      <w:r w:rsidR="00202650" w:rsidRPr="008B0F0E">
        <w:rPr>
          <w:b/>
          <w:sz w:val="28"/>
          <w:szCs w:val="28"/>
        </w:rPr>
        <w:t>KRG</w:t>
      </w:r>
      <w:proofErr w:type="spellEnd"/>
      <w:r w:rsidRPr="008B0F0E">
        <w:rPr>
          <w:b/>
          <w:sz w:val="28"/>
          <w:szCs w:val="28"/>
        </w:rPr>
        <w:t xml:space="preserve"> Contribution fund</w:t>
      </w:r>
    </w:p>
    <w:p w14:paraId="1BA92150" w14:textId="77777777" w:rsidR="0017344B" w:rsidRPr="008B0F0E" w:rsidRDefault="0017344B" w:rsidP="0017344B">
      <w:pPr>
        <w:jc w:val="center"/>
        <w:outlineLvl w:val="0"/>
        <w:rPr>
          <w:b/>
          <w:sz w:val="28"/>
          <w:szCs w:val="28"/>
        </w:rPr>
      </w:pPr>
      <w:r w:rsidRPr="008B0F0E">
        <w:rPr>
          <w:b/>
          <w:sz w:val="28"/>
          <w:szCs w:val="28"/>
        </w:rPr>
        <w:t>Project #:N047</w:t>
      </w:r>
    </w:p>
    <w:p w14:paraId="426FC5E4" w14:textId="77777777" w:rsidR="0017344B" w:rsidRPr="008B0F0E" w:rsidRDefault="0017344B" w:rsidP="0017344B">
      <w:pPr>
        <w:jc w:val="center"/>
        <w:outlineLvl w:val="0"/>
        <w:rPr>
          <w:b/>
          <w:sz w:val="24"/>
          <w:szCs w:val="24"/>
        </w:rPr>
      </w:pPr>
    </w:p>
    <w:p w14:paraId="55078EC6" w14:textId="77777777" w:rsidR="002C2559" w:rsidRPr="008B0F0E" w:rsidRDefault="0059319A" w:rsidP="00570D4A">
      <w:pPr>
        <w:ind w:left="-284"/>
        <w:rPr>
          <w:szCs w:val="22"/>
          <w:lang w:val="fr-FR"/>
        </w:rPr>
      </w:pPr>
      <w:proofErr w:type="spellStart"/>
      <w:r w:rsidRPr="008B0F0E">
        <w:rPr>
          <w:b/>
          <w:szCs w:val="22"/>
          <w:lang w:val="fr-FR"/>
        </w:rPr>
        <w:t>Participating</w:t>
      </w:r>
      <w:proofErr w:type="spellEnd"/>
      <w:r w:rsidR="0017344B" w:rsidRPr="008B0F0E">
        <w:rPr>
          <w:b/>
          <w:szCs w:val="22"/>
          <w:lang w:val="fr-FR"/>
        </w:rPr>
        <w:t xml:space="preserve"> UN </w:t>
      </w:r>
      <w:r w:rsidRPr="008B0F0E">
        <w:rPr>
          <w:b/>
          <w:szCs w:val="22"/>
          <w:lang w:val="en-US"/>
        </w:rPr>
        <w:t>Agencies</w:t>
      </w:r>
      <w:r w:rsidR="0017344B" w:rsidRPr="008B0F0E">
        <w:rPr>
          <w:szCs w:val="22"/>
          <w:lang w:val="fr-FR"/>
        </w:rPr>
        <w:t>: UN-H</w:t>
      </w:r>
      <w:r w:rsidR="00A26D3B" w:rsidRPr="008B0F0E">
        <w:rPr>
          <w:szCs w:val="22"/>
          <w:lang w:val="fr-FR"/>
        </w:rPr>
        <w:t xml:space="preserve">abitat </w:t>
      </w:r>
      <w:r w:rsidR="0017344B" w:rsidRPr="008B0F0E">
        <w:rPr>
          <w:szCs w:val="22"/>
          <w:lang w:val="fr-FR"/>
        </w:rPr>
        <w:t xml:space="preserve">and UNDP </w:t>
      </w:r>
    </w:p>
    <w:p w14:paraId="1DFD1EB1" w14:textId="77777777" w:rsidR="0017344B" w:rsidRPr="008B0F0E" w:rsidRDefault="002C2559" w:rsidP="00985128">
      <w:pPr>
        <w:ind w:left="-284"/>
        <w:rPr>
          <w:szCs w:val="22"/>
          <w:lang w:val="fr-FR"/>
        </w:rPr>
      </w:pPr>
      <w:r w:rsidRPr="008B0F0E">
        <w:rPr>
          <w:b/>
          <w:bCs/>
          <w:szCs w:val="22"/>
          <w:lang w:val="fr-FR"/>
        </w:rPr>
        <w:t xml:space="preserve">Lead </w:t>
      </w:r>
      <w:r w:rsidR="00985128" w:rsidRPr="008B0F0E">
        <w:rPr>
          <w:b/>
          <w:bCs/>
          <w:szCs w:val="22"/>
          <w:lang w:val="fr-FR"/>
        </w:rPr>
        <w:t>A</w:t>
      </w:r>
      <w:r w:rsidRPr="008B0F0E">
        <w:rPr>
          <w:b/>
          <w:bCs/>
          <w:szCs w:val="22"/>
          <w:lang w:val="fr-FR"/>
        </w:rPr>
        <w:t>gency</w:t>
      </w:r>
      <w:r w:rsidRPr="008B0F0E">
        <w:rPr>
          <w:szCs w:val="22"/>
          <w:lang w:val="fr-FR"/>
        </w:rPr>
        <w:t>: UN-Habitat</w:t>
      </w:r>
    </w:p>
    <w:p w14:paraId="128F4133" w14:textId="77777777" w:rsidR="0017344B" w:rsidRPr="008B0F0E" w:rsidRDefault="0017344B" w:rsidP="00570D4A">
      <w:pPr>
        <w:ind w:left="-284"/>
        <w:outlineLvl w:val="0"/>
        <w:rPr>
          <w:bCs/>
          <w:sz w:val="24"/>
          <w:szCs w:val="24"/>
          <w:lang w:val="fr-FR"/>
        </w:rPr>
      </w:pPr>
      <w:r w:rsidRPr="008B0F0E">
        <w:rPr>
          <w:b/>
          <w:sz w:val="24"/>
          <w:szCs w:val="24"/>
          <w:lang w:val="en-US"/>
        </w:rPr>
        <w:t>Responsible</w:t>
      </w:r>
      <w:r w:rsidRPr="008B0F0E">
        <w:rPr>
          <w:b/>
          <w:sz w:val="24"/>
          <w:szCs w:val="24"/>
          <w:lang w:val="fr-FR"/>
        </w:rPr>
        <w:t xml:space="preserve"> line </w:t>
      </w:r>
      <w:r w:rsidRPr="008B0F0E">
        <w:rPr>
          <w:b/>
          <w:sz w:val="24"/>
          <w:szCs w:val="24"/>
          <w:lang w:val="en-US"/>
        </w:rPr>
        <w:t>ministry</w:t>
      </w:r>
      <w:proofErr w:type="gramStart"/>
      <w:r w:rsidRPr="008B0F0E">
        <w:rPr>
          <w:b/>
          <w:sz w:val="24"/>
          <w:szCs w:val="24"/>
          <w:lang w:val="fr-FR"/>
        </w:rPr>
        <w:t>:</w:t>
      </w:r>
      <w:r w:rsidR="00DD2D6C" w:rsidRPr="008B0F0E">
        <w:rPr>
          <w:bCs/>
          <w:sz w:val="24"/>
          <w:szCs w:val="24"/>
          <w:lang w:val="en-US"/>
        </w:rPr>
        <w:t>Ministry</w:t>
      </w:r>
      <w:proofErr w:type="gramEnd"/>
      <w:r w:rsidR="00DD2D6C" w:rsidRPr="008B0F0E">
        <w:rPr>
          <w:bCs/>
          <w:sz w:val="24"/>
          <w:szCs w:val="24"/>
          <w:lang w:val="fr-FR"/>
        </w:rPr>
        <w:t xml:space="preserve"> of Planning/ KRG</w:t>
      </w:r>
    </w:p>
    <w:p w14:paraId="1CC4ED4A" w14:textId="77777777" w:rsidR="00A63CA0" w:rsidRPr="008B0F0E" w:rsidRDefault="00052623" w:rsidP="006504CB">
      <w:pPr>
        <w:ind w:left="-284"/>
        <w:rPr>
          <w:szCs w:val="22"/>
        </w:rPr>
      </w:pPr>
      <w:r w:rsidRPr="008B0F0E">
        <w:rPr>
          <w:szCs w:val="22"/>
          <w:highlight w:val="yellow"/>
        </w:rPr>
        <w:t>Reporting period</w:t>
      </w:r>
      <w:r w:rsidR="00A63CA0" w:rsidRPr="008B0F0E">
        <w:rPr>
          <w:szCs w:val="22"/>
          <w:highlight w:val="yellow"/>
        </w:rPr>
        <w:t xml:space="preserve">: </w:t>
      </w:r>
      <w:r w:rsidR="00A26D3B" w:rsidRPr="008B0F0E">
        <w:rPr>
          <w:szCs w:val="22"/>
          <w:highlight w:val="yellow"/>
        </w:rPr>
        <w:t xml:space="preserve">1 </w:t>
      </w:r>
      <w:r w:rsidR="00DC4364" w:rsidRPr="008B0F0E">
        <w:rPr>
          <w:szCs w:val="22"/>
          <w:highlight w:val="yellow"/>
        </w:rPr>
        <w:t xml:space="preserve">January </w:t>
      </w:r>
      <w:r w:rsidR="00A26D3B" w:rsidRPr="008B0F0E">
        <w:rPr>
          <w:szCs w:val="22"/>
          <w:highlight w:val="yellow"/>
        </w:rPr>
        <w:t xml:space="preserve">– </w:t>
      </w:r>
      <w:r w:rsidR="00FC2ACF" w:rsidRPr="008B0F0E">
        <w:rPr>
          <w:szCs w:val="22"/>
          <w:highlight w:val="yellow"/>
        </w:rPr>
        <w:t>end</w:t>
      </w:r>
      <w:r w:rsidR="006D0E15" w:rsidRPr="008B0F0E">
        <w:rPr>
          <w:szCs w:val="22"/>
          <w:highlight w:val="yellow"/>
        </w:rPr>
        <w:t xml:space="preserve"> </w:t>
      </w:r>
      <w:r w:rsidR="00FC2ACF" w:rsidRPr="008B0F0E">
        <w:rPr>
          <w:szCs w:val="22"/>
          <w:highlight w:val="yellow"/>
        </w:rPr>
        <w:t xml:space="preserve">of </w:t>
      </w:r>
      <w:r w:rsidR="00DC4364" w:rsidRPr="008B0F0E">
        <w:rPr>
          <w:szCs w:val="22"/>
          <w:highlight w:val="yellow"/>
        </w:rPr>
        <w:t>20</w:t>
      </w:r>
      <w:r w:rsidR="00DC4364" w:rsidRPr="006504CB">
        <w:rPr>
          <w:szCs w:val="22"/>
          <w:highlight w:val="yellow"/>
        </w:rPr>
        <w:t>1</w:t>
      </w:r>
      <w:r w:rsidR="006504CB" w:rsidRPr="006504CB">
        <w:rPr>
          <w:szCs w:val="22"/>
          <w:highlight w:val="yellow"/>
        </w:rPr>
        <w:t>4</w:t>
      </w:r>
    </w:p>
    <w:p w14:paraId="49CFE65B" w14:textId="77777777" w:rsidR="00052623" w:rsidRPr="008B0F0E" w:rsidRDefault="00052623" w:rsidP="00052623">
      <w:pPr>
        <w:ind w:left="-284"/>
        <w:rPr>
          <w:szCs w:val="22"/>
        </w:rPr>
      </w:pPr>
      <w:r w:rsidRPr="008B0F0E">
        <w:rPr>
          <w:szCs w:val="22"/>
        </w:rPr>
        <w:t>Primary Contact Person: Maha Thabit (</w:t>
      </w:r>
      <w:hyperlink r:id="rId9" w:history="1">
        <w:r w:rsidRPr="008B0F0E">
          <w:rPr>
            <w:rStyle w:val="Hyperlink"/>
            <w:color w:val="auto"/>
            <w:szCs w:val="22"/>
          </w:rPr>
          <w:t>maha.thabit@unhabitat.org</w:t>
        </w:r>
      </w:hyperlink>
      <w:r w:rsidRPr="008B0F0E">
        <w:rPr>
          <w:szCs w:val="22"/>
        </w:rPr>
        <w:t>)</w:t>
      </w:r>
    </w:p>
    <w:p w14:paraId="47C50CEC" w14:textId="77777777" w:rsidR="00A26D3B" w:rsidRPr="008B0F0E" w:rsidRDefault="00A26D3B" w:rsidP="00570D4A">
      <w:pPr>
        <w:ind w:left="-284"/>
        <w:rPr>
          <w:szCs w:val="22"/>
        </w:r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8116"/>
      </w:tblGrid>
      <w:tr w:rsidR="008B0F0E" w:rsidRPr="008B0F0E" w14:paraId="4A289791"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6D8D87BB" w14:textId="77777777" w:rsidR="0017344B" w:rsidRPr="008B0F0E" w:rsidRDefault="0017344B">
            <w:pPr>
              <w:rPr>
                <w:b/>
                <w:szCs w:val="22"/>
              </w:rPr>
            </w:pPr>
            <w:r w:rsidRPr="008B0F0E">
              <w:rPr>
                <w:b/>
                <w:szCs w:val="22"/>
              </w:rPr>
              <w:t>Title</w:t>
            </w:r>
          </w:p>
        </w:tc>
        <w:tc>
          <w:tcPr>
            <w:tcW w:w="8116" w:type="dxa"/>
            <w:tcBorders>
              <w:top w:val="single" w:sz="4" w:space="0" w:color="auto"/>
              <w:left w:val="single" w:sz="4" w:space="0" w:color="auto"/>
              <w:bottom w:val="single" w:sz="4" w:space="0" w:color="auto"/>
              <w:right w:val="single" w:sz="4" w:space="0" w:color="auto"/>
            </w:tcBorders>
            <w:hideMark/>
          </w:tcPr>
          <w:p w14:paraId="699D1481" w14:textId="77777777" w:rsidR="0017344B" w:rsidRPr="008B0F0E" w:rsidRDefault="004E78CD" w:rsidP="004E78CD">
            <w:pPr>
              <w:rPr>
                <w:szCs w:val="22"/>
              </w:rPr>
            </w:pPr>
            <w:r w:rsidRPr="008B0F0E">
              <w:t xml:space="preserve">Implementation of </w:t>
            </w:r>
            <w:r w:rsidR="0017344B" w:rsidRPr="008B0F0E">
              <w:t>Improving the Housing Delivery System in Erbil</w:t>
            </w:r>
            <w:r w:rsidR="00001E22" w:rsidRPr="008B0F0E">
              <w:t xml:space="preserve"> Phase II</w:t>
            </w:r>
          </w:p>
        </w:tc>
      </w:tr>
      <w:tr w:rsidR="008B0F0E" w:rsidRPr="008B0F0E" w14:paraId="339A3CE1"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124B7570" w14:textId="77777777" w:rsidR="0017344B" w:rsidRPr="008B0F0E" w:rsidRDefault="00001E22">
            <w:pPr>
              <w:rPr>
                <w:b/>
                <w:szCs w:val="22"/>
              </w:rPr>
            </w:pPr>
            <w:r w:rsidRPr="008B0F0E">
              <w:rPr>
                <w:b/>
                <w:szCs w:val="22"/>
              </w:rPr>
              <w:t>Contribution amount</w:t>
            </w:r>
          </w:p>
        </w:tc>
        <w:tc>
          <w:tcPr>
            <w:tcW w:w="8116" w:type="dxa"/>
            <w:tcBorders>
              <w:top w:val="single" w:sz="4" w:space="0" w:color="auto"/>
              <w:left w:val="single" w:sz="4" w:space="0" w:color="auto"/>
              <w:bottom w:val="single" w:sz="4" w:space="0" w:color="auto"/>
              <w:right w:val="single" w:sz="4" w:space="0" w:color="auto"/>
            </w:tcBorders>
            <w:hideMark/>
          </w:tcPr>
          <w:p w14:paraId="73E50268" w14:textId="77777777" w:rsidR="0017344B" w:rsidRPr="008B0F0E" w:rsidRDefault="0017344B" w:rsidP="00DC4364">
            <w:pPr>
              <w:rPr>
                <w:szCs w:val="22"/>
              </w:rPr>
            </w:pPr>
            <w:r w:rsidRPr="008B0F0E">
              <w:t>$</w:t>
            </w:r>
            <w:r w:rsidR="00431ABB" w:rsidRPr="008B0F0E">
              <w:t>842,800</w:t>
            </w:r>
            <w:r w:rsidR="00DC4364" w:rsidRPr="008B0F0E">
              <w:t xml:space="preserve"> + $243,924</w:t>
            </w:r>
          </w:p>
        </w:tc>
      </w:tr>
      <w:tr w:rsidR="008B0F0E" w:rsidRPr="008B0F0E" w14:paraId="5A5DC7D1"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3F1E4932" w14:textId="77777777" w:rsidR="0017344B" w:rsidRPr="008B0F0E" w:rsidRDefault="0017344B">
            <w:pPr>
              <w:rPr>
                <w:b/>
                <w:szCs w:val="22"/>
              </w:rPr>
            </w:pPr>
            <w:r w:rsidRPr="008B0F0E">
              <w:rPr>
                <w:b/>
                <w:szCs w:val="22"/>
              </w:rPr>
              <w:t>Duration</w:t>
            </w:r>
          </w:p>
        </w:tc>
        <w:tc>
          <w:tcPr>
            <w:tcW w:w="8116" w:type="dxa"/>
            <w:tcBorders>
              <w:top w:val="single" w:sz="4" w:space="0" w:color="auto"/>
              <w:left w:val="single" w:sz="4" w:space="0" w:color="auto"/>
              <w:bottom w:val="single" w:sz="4" w:space="0" w:color="auto"/>
              <w:right w:val="single" w:sz="4" w:space="0" w:color="auto"/>
            </w:tcBorders>
            <w:hideMark/>
          </w:tcPr>
          <w:p w14:paraId="07EAEB9E" w14:textId="77777777" w:rsidR="0017344B" w:rsidRPr="008B0F0E" w:rsidRDefault="00431ABB" w:rsidP="00DC4364">
            <w:pPr>
              <w:rPr>
                <w:szCs w:val="22"/>
              </w:rPr>
            </w:pPr>
            <w:r w:rsidRPr="008B0F0E">
              <w:rPr>
                <w:szCs w:val="22"/>
              </w:rPr>
              <w:t>10</w:t>
            </w:r>
            <w:r w:rsidR="0017344B" w:rsidRPr="008B0F0E">
              <w:rPr>
                <w:szCs w:val="22"/>
              </w:rPr>
              <w:t xml:space="preserve"> Months</w:t>
            </w:r>
          </w:p>
        </w:tc>
      </w:tr>
      <w:tr w:rsidR="008B0F0E" w:rsidRPr="008B0F0E" w14:paraId="5B223078"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5AC77856" w14:textId="77777777" w:rsidR="0017344B" w:rsidRPr="008B0F0E" w:rsidRDefault="0017344B">
            <w:pPr>
              <w:rPr>
                <w:b/>
                <w:szCs w:val="22"/>
              </w:rPr>
            </w:pPr>
            <w:r w:rsidRPr="008B0F0E">
              <w:rPr>
                <w:b/>
                <w:szCs w:val="22"/>
              </w:rPr>
              <w:t>Starting Date</w:t>
            </w:r>
            <w:r w:rsidR="00431ABB" w:rsidRPr="008B0F0E">
              <w:rPr>
                <w:b/>
                <w:szCs w:val="22"/>
              </w:rPr>
              <w:t xml:space="preserve"> / date of funds receipt</w:t>
            </w:r>
          </w:p>
        </w:tc>
        <w:tc>
          <w:tcPr>
            <w:tcW w:w="8116" w:type="dxa"/>
            <w:tcBorders>
              <w:top w:val="single" w:sz="4" w:space="0" w:color="auto"/>
              <w:left w:val="single" w:sz="4" w:space="0" w:color="auto"/>
              <w:bottom w:val="single" w:sz="4" w:space="0" w:color="auto"/>
              <w:right w:val="single" w:sz="4" w:space="0" w:color="auto"/>
            </w:tcBorders>
          </w:tcPr>
          <w:p w14:paraId="31606C29" w14:textId="77777777" w:rsidR="0017344B" w:rsidRPr="008B0F0E" w:rsidRDefault="00431ABB">
            <w:pPr>
              <w:jc w:val="both"/>
              <w:rPr>
                <w:szCs w:val="22"/>
              </w:rPr>
            </w:pPr>
            <w:r w:rsidRPr="008B0F0E">
              <w:rPr>
                <w:szCs w:val="22"/>
              </w:rPr>
              <w:t>30 May 2012</w:t>
            </w:r>
          </w:p>
        </w:tc>
      </w:tr>
      <w:tr w:rsidR="008B0F0E" w:rsidRPr="008B0F0E" w14:paraId="50D8557E"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49AA41B0" w14:textId="77777777" w:rsidR="0017344B" w:rsidRPr="008B0F0E" w:rsidRDefault="0017344B">
            <w:pPr>
              <w:rPr>
                <w:b/>
                <w:szCs w:val="22"/>
              </w:rPr>
            </w:pPr>
            <w:r w:rsidRPr="008B0F0E">
              <w:rPr>
                <w:b/>
                <w:szCs w:val="22"/>
              </w:rPr>
              <w:t xml:space="preserve">Completion Date   </w:t>
            </w:r>
          </w:p>
        </w:tc>
        <w:tc>
          <w:tcPr>
            <w:tcW w:w="8116" w:type="dxa"/>
            <w:tcBorders>
              <w:top w:val="single" w:sz="4" w:space="0" w:color="auto"/>
              <w:left w:val="single" w:sz="4" w:space="0" w:color="auto"/>
              <w:bottom w:val="single" w:sz="4" w:space="0" w:color="auto"/>
              <w:right w:val="single" w:sz="4" w:space="0" w:color="auto"/>
            </w:tcBorders>
          </w:tcPr>
          <w:p w14:paraId="23A6CB77" w14:textId="77777777" w:rsidR="0017344B" w:rsidRPr="008B0F0E" w:rsidRDefault="00B42281">
            <w:pPr>
              <w:jc w:val="both"/>
              <w:rPr>
                <w:szCs w:val="22"/>
              </w:rPr>
            </w:pPr>
            <w:r w:rsidRPr="008B0F0E">
              <w:rPr>
                <w:szCs w:val="22"/>
              </w:rPr>
              <w:t>29 March 2013</w:t>
            </w:r>
          </w:p>
        </w:tc>
      </w:tr>
      <w:tr w:rsidR="008B0F0E" w:rsidRPr="008B0F0E" w14:paraId="5774AF71"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1654A4A2" w14:textId="77777777" w:rsidR="0017344B" w:rsidRPr="008B0F0E" w:rsidRDefault="0017344B">
            <w:pPr>
              <w:rPr>
                <w:b/>
                <w:szCs w:val="22"/>
              </w:rPr>
            </w:pPr>
            <w:r w:rsidRPr="008B0F0E">
              <w:rPr>
                <w:b/>
                <w:szCs w:val="22"/>
              </w:rPr>
              <w:t xml:space="preserve">First extension </w:t>
            </w:r>
          </w:p>
        </w:tc>
        <w:tc>
          <w:tcPr>
            <w:tcW w:w="8116" w:type="dxa"/>
            <w:tcBorders>
              <w:top w:val="single" w:sz="4" w:space="0" w:color="auto"/>
              <w:left w:val="single" w:sz="4" w:space="0" w:color="auto"/>
              <w:bottom w:val="single" w:sz="4" w:space="0" w:color="auto"/>
              <w:right w:val="single" w:sz="4" w:space="0" w:color="auto"/>
            </w:tcBorders>
          </w:tcPr>
          <w:p w14:paraId="483C96DE" w14:textId="77777777" w:rsidR="0017344B" w:rsidRPr="008B0F0E" w:rsidRDefault="00B42281">
            <w:pPr>
              <w:jc w:val="both"/>
              <w:rPr>
                <w:szCs w:val="22"/>
              </w:rPr>
            </w:pPr>
            <w:r w:rsidRPr="008B0F0E">
              <w:rPr>
                <w:szCs w:val="22"/>
              </w:rPr>
              <w:t>Till end</w:t>
            </w:r>
            <w:r w:rsidR="00DD2D6C" w:rsidRPr="008B0F0E">
              <w:rPr>
                <w:szCs w:val="22"/>
              </w:rPr>
              <w:t xml:space="preserve"> of</w:t>
            </w:r>
            <w:r w:rsidRPr="008B0F0E">
              <w:rPr>
                <w:szCs w:val="22"/>
              </w:rPr>
              <w:t xml:space="preserve"> September 2013</w:t>
            </w:r>
          </w:p>
        </w:tc>
      </w:tr>
      <w:tr w:rsidR="008B0F0E" w:rsidRPr="008B0F0E" w14:paraId="3F283558"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tcPr>
          <w:p w14:paraId="327B785D" w14:textId="77777777" w:rsidR="00DC4364" w:rsidRPr="008B0F0E" w:rsidRDefault="00DC4364">
            <w:pPr>
              <w:rPr>
                <w:b/>
                <w:szCs w:val="22"/>
              </w:rPr>
            </w:pPr>
            <w:r w:rsidRPr="008B0F0E">
              <w:rPr>
                <w:b/>
                <w:szCs w:val="22"/>
              </w:rPr>
              <w:t>Second extension</w:t>
            </w:r>
          </w:p>
        </w:tc>
        <w:tc>
          <w:tcPr>
            <w:tcW w:w="8116" w:type="dxa"/>
            <w:tcBorders>
              <w:top w:val="single" w:sz="4" w:space="0" w:color="auto"/>
              <w:left w:val="single" w:sz="4" w:space="0" w:color="auto"/>
              <w:bottom w:val="single" w:sz="4" w:space="0" w:color="auto"/>
              <w:right w:val="single" w:sz="4" w:space="0" w:color="auto"/>
            </w:tcBorders>
          </w:tcPr>
          <w:p w14:paraId="45C55A5B" w14:textId="77777777" w:rsidR="00DC4364" w:rsidRPr="008B0F0E" w:rsidRDefault="00DC4364">
            <w:pPr>
              <w:jc w:val="both"/>
              <w:rPr>
                <w:szCs w:val="22"/>
              </w:rPr>
            </w:pPr>
            <w:r w:rsidRPr="008B0F0E">
              <w:rPr>
                <w:szCs w:val="22"/>
              </w:rPr>
              <w:t>Till end of December 2013</w:t>
            </w:r>
          </w:p>
        </w:tc>
      </w:tr>
      <w:tr w:rsidR="008B0F0E" w:rsidRPr="008B0F0E" w14:paraId="01CEC789"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tcPr>
          <w:p w14:paraId="0493341C" w14:textId="77777777" w:rsidR="00DC4364" w:rsidRPr="002B5AB6" w:rsidRDefault="00DC4364">
            <w:pPr>
              <w:rPr>
                <w:b/>
                <w:szCs w:val="22"/>
              </w:rPr>
            </w:pPr>
            <w:r w:rsidRPr="002B5AB6">
              <w:rPr>
                <w:b/>
                <w:szCs w:val="22"/>
              </w:rPr>
              <w:t>Third extension</w:t>
            </w:r>
          </w:p>
        </w:tc>
        <w:tc>
          <w:tcPr>
            <w:tcW w:w="8116" w:type="dxa"/>
            <w:tcBorders>
              <w:top w:val="single" w:sz="4" w:space="0" w:color="auto"/>
              <w:left w:val="single" w:sz="4" w:space="0" w:color="auto"/>
              <w:bottom w:val="single" w:sz="4" w:space="0" w:color="auto"/>
              <w:right w:val="single" w:sz="4" w:space="0" w:color="auto"/>
            </w:tcBorders>
          </w:tcPr>
          <w:p w14:paraId="1E42C00F" w14:textId="77777777" w:rsidR="00DC4364" w:rsidRPr="002B5AB6" w:rsidRDefault="00DC4364" w:rsidP="006504CB">
            <w:pPr>
              <w:jc w:val="both"/>
              <w:rPr>
                <w:szCs w:val="22"/>
              </w:rPr>
            </w:pPr>
            <w:r w:rsidRPr="002B5AB6">
              <w:rPr>
                <w:szCs w:val="22"/>
              </w:rPr>
              <w:t>Till end of December 2014</w:t>
            </w:r>
          </w:p>
        </w:tc>
      </w:tr>
      <w:tr w:rsidR="002B5AB6" w:rsidRPr="008B0F0E" w14:paraId="7B512110"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tcPr>
          <w:p w14:paraId="74C97C34" w14:textId="77777777" w:rsidR="002B5AB6" w:rsidRPr="008B0F0E" w:rsidRDefault="002B5AB6">
            <w:pPr>
              <w:rPr>
                <w:b/>
                <w:szCs w:val="22"/>
                <w:highlight w:val="yellow"/>
              </w:rPr>
            </w:pPr>
            <w:r>
              <w:rPr>
                <w:b/>
                <w:szCs w:val="22"/>
                <w:highlight w:val="yellow"/>
              </w:rPr>
              <w:t>Fourth Extension</w:t>
            </w:r>
          </w:p>
        </w:tc>
        <w:tc>
          <w:tcPr>
            <w:tcW w:w="8116" w:type="dxa"/>
            <w:tcBorders>
              <w:top w:val="single" w:sz="4" w:space="0" w:color="auto"/>
              <w:left w:val="single" w:sz="4" w:space="0" w:color="auto"/>
              <w:bottom w:val="single" w:sz="4" w:space="0" w:color="auto"/>
              <w:right w:val="single" w:sz="4" w:space="0" w:color="auto"/>
            </w:tcBorders>
          </w:tcPr>
          <w:p w14:paraId="70AEC1E3" w14:textId="77777777" w:rsidR="002B5AB6" w:rsidRPr="008B0F0E" w:rsidRDefault="006504CB" w:rsidP="004B098D">
            <w:pPr>
              <w:jc w:val="both"/>
              <w:rPr>
                <w:szCs w:val="22"/>
                <w:highlight w:val="yellow"/>
              </w:rPr>
            </w:pPr>
            <w:r w:rsidRPr="004B098D">
              <w:rPr>
                <w:szCs w:val="22"/>
                <w:highlight w:val="yellow"/>
              </w:rPr>
              <w:t xml:space="preserve">Till end of </w:t>
            </w:r>
            <w:r w:rsidR="004B098D">
              <w:rPr>
                <w:szCs w:val="22"/>
                <w:highlight w:val="yellow"/>
              </w:rPr>
              <w:t>June</w:t>
            </w:r>
            <w:r w:rsidRPr="004B098D">
              <w:rPr>
                <w:szCs w:val="22"/>
                <w:highlight w:val="yellow"/>
              </w:rPr>
              <w:t xml:space="preserve"> 2015 (to be submitted)</w:t>
            </w:r>
          </w:p>
        </w:tc>
      </w:tr>
      <w:tr w:rsidR="008B0F0E" w:rsidRPr="008B0F0E" w14:paraId="5DD6921F" w14:textId="77777777" w:rsidTr="00862A29">
        <w:trPr>
          <w:jc w:val="center"/>
        </w:trPr>
        <w:tc>
          <w:tcPr>
            <w:tcW w:w="2516" w:type="dxa"/>
            <w:tcBorders>
              <w:top w:val="single" w:sz="4" w:space="0" w:color="auto"/>
              <w:left w:val="single" w:sz="4" w:space="0" w:color="auto"/>
              <w:bottom w:val="single" w:sz="4" w:space="0" w:color="auto"/>
              <w:right w:val="single" w:sz="4" w:space="0" w:color="auto"/>
            </w:tcBorders>
            <w:shd w:val="clear" w:color="auto" w:fill="FFFFCC"/>
            <w:hideMark/>
          </w:tcPr>
          <w:p w14:paraId="726E6FE6" w14:textId="77777777" w:rsidR="0017344B" w:rsidRPr="008B0F0E" w:rsidRDefault="0017344B">
            <w:pPr>
              <w:rPr>
                <w:b/>
                <w:szCs w:val="22"/>
              </w:rPr>
            </w:pPr>
            <w:r w:rsidRPr="008B0F0E">
              <w:rPr>
                <w:b/>
                <w:szCs w:val="22"/>
              </w:rPr>
              <w:t>Project Description</w:t>
            </w:r>
          </w:p>
        </w:tc>
        <w:tc>
          <w:tcPr>
            <w:tcW w:w="8116" w:type="dxa"/>
            <w:tcBorders>
              <w:top w:val="single" w:sz="4" w:space="0" w:color="auto"/>
              <w:left w:val="single" w:sz="4" w:space="0" w:color="auto"/>
              <w:bottom w:val="single" w:sz="4" w:space="0" w:color="auto"/>
              <w:right w:val="single" w:sz="4" w:space="0" w:color="auto"/>
            </w:tcBorders>
          </w:tcPr>
          <w:p w14:paraId="11C7CBF6" w14:textId="77777777" w:rsidR="006D14A8" w:rsidRPr="008B0F0E" w:rsidRDefault="00B1251D" w:rsidP="004B098D">
            <w:pPr>
              <w:autoSpaceDE w:val="0"/>
              <w:adjustRightInd w:val="0"/>
              <w:jc w:val="both"/>
              <w:rPr>
                <w:szCs w:val="22"/>
              </w:rPr>
            </w:pPr>
            <w:r w:rsidRPr="008B0F0E">
              <w:rPr>
                <w:rFonts w:asciiTheme="majorBidi" w:hAnsiTheme="majorBidi" w:cstheme="majorBidi"/>
                <w:szCs w:val="22"/>
              </w:rPr>
              <w:t>UN-</w:t>
            </w:r>
            <w:r w:rsidR="006D14A8" w:rsidRPr="008B0F0E">
              <w:rPr>
                <w:rFonts w:asciiTheme="majorBidi" w:hAnsiTheme="majorBidi" w:cstheme="majorBidi"/>
                <w:szCs w:val="22"/>
              </w:rPr>
              <w:t xml:space="preserve">Habitat </w:t>
            </w:r>
            <w:r w:rsidRPr="008B0F0E">
              <w:rPr>
                <w:rFonts w:asciiTheme="majorBidi" w:hAnsiTheme="majorBidi" w:cstheme="majorBidi"/>
                <w:szCs w:val="22"/>
              </w:rPr>
              <w:t xml:space="preserve">was granted funding to extend the on-going project </w:t>
            </w:r>
            <w:r w:rsidRPr="008B0F0E">
              <w:rPr>
                <w:rFonts w:asciiTheme="majorBidi" w:hAnsiTheme="majorBidi" w:cstheme="majorBidi"/>
                <w:i/>
                <w:szCs w:val="22"/>
              </w:rPr>
              <w:t>Improving the Housing Delivery System in Erbil</w:t>
            </w:r>
            <w:r w:rsidR="007059D2" w:rsidRPr="008B0F0E">
              <w:rPr>
                <w:rFonts w:asciiTheme="majorBidi" w:hAnsiTheme="majorBidi" w:cstheme="majorBidi"/>
                <w:iCs/>
                <w:szCs w:val="22"/>
              </w:rPr>
              <w:t xml:space="preserve"> funded by the Iraq Trust Fund (ITF)</w:t>
            </w:r>
            <w:r w:rsidRPr="008B0F0E">
              <w:rPr>
                <w:rFonts w:asciiTheme="majorBidi" w:hAnsiTheme="majorBidi" w:cstheme="majorBidi"/>
                <w:szCs w:val="22"/>
              </w:rPr>
              <w:t xml:space="preserve">, </w:t>
            </w:r>
            <w:r w:rsidR="00DA6D81" w:rsidRPr="008B0F0E">
              <w:rPr>
                <w:rFonts w:asciiTheme="majorBidi" w:hAnsiTheme="majorBidi" w:cstheme="majorBidi"/>
                <w:szCs w:val="22"/>
              </w:rPr>
              <w:t xml:space="preserve">which was </w:t>
            </w:r>
            <w:r w:rsidRPr="008B0F0E">
              <w:rPr>
                <w:rFonts w:asciiTheme="majorBidi" w:hAnsiTheme="majorBidi" w:cstheme="majorBidi"/>
                <w:szCs w:val="22"/>
              </w:rPr>
              <w:t xml:space="preserve">implemented jointly with UNDP. </w:t>
            </w:r>
            <w:r w:rsidR="00DA6D81" w:rsidRPr="008B0F0E">
              <w:rPr>
                <w:rFonts w:asciiTheme="majorBidi" w:hAnsiTheme="majorBidi" w:cstheme="majorBidi"/>
                <w:szCs w:val="22"/>
              </w:rPr>
              <w:t xml:space="preserve">The </w:t>
            </w:r>
            <w:r w:rsidR="006D14A8" w:rsidRPr="008B0F0E">
              <w:rPr>
                <w:rFonts w:asciiTheme="majorBidi" w:hAnsiTheme="majorBidi" w:cstheme="majorBidi"/>
                <w:szCs w:val="22"/>
              </w:rPr>
              <w:t xml:space="preserve">project </w:t>
            </w:r>
            <w:r w:rsidR="006D14A8" w:rsidRPr="008B0F0E">
              <w:rPr>
                <w:szCs w:val="22"/>
              </w:rPr>
              <w:t xml:space="preserve">established slum-upgrading master plans in </w:t>
            </w:r>
            <w:r w:rsidR="006D14A8" w:rsidRPr="008B0F0E">
              <w:rPr>
                <w:rFonts w:asciiTheme="majorBidi" w:hAnsiTheme="majorBidi" w:cstheme="majorBidi"/>
                <w:szCs w:val="22"/>
              </w:rPr>
              <w:t>2</w:t>
            </w:r>
            <w:r w:rsidR="006D14A8" w:rsidRPr="008B0F0E">
              <w:rPr>
                <w:szCs w:val="22"/>
              </w:rPr>
              <w:t xml:space="preserve"> pilot slum-like neighbourhoods in Erbil Governorate, (</w:t>
            </w:r>
            <w:proofErr w:type="spellStart"/>
            <w:r w:rsidR="006D14A8" w:rsidRPr="008B0F0E">
              <w:rPr>
                <w:szCs w:val="22"/>
              </w:rPr>
              <w:t>Kurani</w:t>
            </w:r>
            <w:r w:rsidR="006504CB">
              <w:rPr>
                <w:szCs w:val="22"/>
              </w:rPr>
              <w:t>-</w:t>
            </w:r>
            <w:r w:rsidR="006D14A8" w:rsidRPr="008B0F0E">
              <w:rPr>
                <w:szCs w:val="22"/>
              </w:rPr>
              <w:t>Ainkawa</w:t>
            </w:r>
            <w:proofErr w:type="spellEnd"/>
            <w:r w:rsidR="006D14A8" w:rsidRPr="008B0F0E">
              <w:rPr>
                <w:szCs w:val="22"/>
              </w:rPr>
              <w:t xml:space="preserve"> and </w:t>
            </w:r>
            <w:proofErr w:type="spellStart"/>
            <w:r w:rsidR="006D14A8" w:rsidRPr="008B0F0E">
              <w:rPr>
                <w:szCs w:val="22"/>
              </w:rPr>
              <w:t>Saidawa</w:t>
            </w:r>
            <w:proofErr w:type="spellEnd"/>
            <w:r w:rsidR="006D14A8" w:rsidRPr="008B0F0E">
              <w:rPr>
                <w:szCs w:val="22"/>
              </w:rPr>
              <w:t xml:space="preserve">); </w:t>
            </w:r>
            <w:r w:rsidR="006504CB">
              <w:rPr>
                <w:szCs w:val="22"/>
              </w:rPr>
              <w:t xml:space="preserve">of </w:t>
            </w:r>
            <w:r w:rsidR="006D14A8" w:rsidRPr="008B0F0E">
              <w:rPr>
                <w:szCs w:val="22"/>
              </w:rPr>
              <w:t xml:space="preserve">which </w:t>
            </w:r>
            <w:r w:rsidR="006504CB">
              <w:rPr>
                <w:szCs w:val="22"/>
              </w:rPr>
              <w:t xml:space="preserve">the first is being </w:t>
            </w:r>
            <w:r w:rsidR="006D14A8" w:rsidRPr="008B0F0E">
              <w:rPr>
                <w:szCs w:val="22"/>
              </w:rPr>
              <w:t xml:space="preserve">implemented. </w:t>
            </w:r>
          </w:p>
          <w:p w14:paraId="38E84428" w14:textId="77777777" w:rsidR="006D14A8" w:rsidRPr="008B0F0E" w:rsidRDefault="006D14A8" w:rsidP="006D14A8">
            <w:pPr>
              <w:autoSpaceDE w:val="0"/>
              <w:adjustRightInd w:val="0"/>
              <w:jc w:val="both"/>
              <w:rPr>
                <w:rFonts w:asciiTheme="majorBidi" w:hAnsiTheme="majorBidi" w:cstheme="majorBidi"/>
                <w:szCs w:val="22"/>
              </w:rPr>
            </w:pPr>
          </w:p>
          <w:p w14:paraId="418B7751" w14:textId="77777777" w:rsidR="004C08D3" w:rsidRPr="008B0F0E" w:rsidRDefault="006D14A8" w:rsidP="00FD66EE">
            <w:pPr>
              <w:autoSpaceDE w:val="0"/>
              <w:adjustRightInd w:val="0"/>
              <w:jc w:val="both"/>
              <w:rPr>
                <w:rFonts w:asciiTheme="majorBidi" w:hAnsiTheme="majorBidi" w:cstheme="majorBidi"/>
                <w:szCs w:val="22"/>
              </w:rPr>
            </w:pPr>
            <w:r w:rsidRPr="008B0F0E">
              <w:rPr>
                <w:rFonts w:asciiTheme="majorBidi" w:hAnsiTheme="majorBidi" w:cstheme="majorBidi"/>
                <w:szCs w:val="22"/>
              </w:rPr>
              <w:t xml:space="preserve">The </w:t>
            </w:r>
            <w:r w:rsidR="00B1251D" w:rsidRPr="008B0F0E">
              <w:rPr>
                <w:rFonts w:asciiTheme="majorBidi" w:hAnsiTheme="majorBidi" w:cstheme="majorBidi"/>
                <w:szCs w:val="22"/>
              </w:rPr>
              <w:t>upgraded neighbourhood master plan</w:t>
            </w:r>
            <w:r w:rsidR="00DA6D81" w:rsidRPr="008B0F0E">
              <w:rPr>
                <w:rFonts w:asciiTheme="majorBidi" w:hAnsiTheme="majorBidi" w:cstheme="majorBidi"/>
                <w:szCs w:val="22"/>
              </w:rPr>
              <w:t xml:space="preserve"> of </w:t>
            </w:r>
            <w:proofErr w:type="spellStart"/>
            <w:r w:rsidR="00DA6D81" w:rsidRPr="008B0F0E">
              <w:rPr>
                <w:rFonts w:asciiTheme="majorBidi" w:hAnsiTheme="majorBidi" w:cstheme="majorBidi"/>
                <w:szCs w:val="22"/>
              </w:rPr>
              <w:t>Kurani</w:t>
            </w:r>
            <w:r w:rsidR="006504CB">
              <w:rPr>
                <w:rFonts w:asciiTheme="majorBidi" w:hAnsiTheme="majorBidi" w:cstheme="majorBidi"/>
                <w:szCs w:val="22"/>
              </w:rPr>
              <w:t>-</w:t>
            </w:r>
            <w:r w:rsidR="00DA6D81" w:rsidRPr="008B0F0E">
              <w:rPr>
                <w:rFonts w:asciiTheme="majorBidi" w:hAnsiTheme="majorBidi" w:cstheme="majorBidi"/>
                <w:szCs w:val="22"/>
              </w:rPr>
              <w:t>Ain</w:t>
            </w:r>
            <w:r w:rsidR="00D75BEB" w:rsidRPr="008B0F0E">
              <w:rPr>
                <w:rFonts w:asciiTheme="majorBidi" w:hAnsiTheme="majorBidi" w:cstheme="majorBidi"/>
                <w:szCs w:val="22"/>
              </w:rPr>
              <w:t>k</w:t>
            </w:r>
            <w:r w:rsidR="00FD66EE" w:rsidRPr="008B0F0E">
              <w:rPr>
                <w:rFonts w:asciiTheme="majorBidi" w:hAnsiTheme="majorBidi" w:cstheme="majorBidi"/>
                <w:szCs w:val="22"/>
              </w:rPr>
              <w:t>awa</w:t>
            </w:r>
            <w:proofErr w:type="spellEnd"/>
            <w:r w:rsidR="006504CB">
              <w:rPr>
                <w:rFonts w:asciiTheme="majorBidi" w:hAnsiTheme="majorBidi" w:cstheme="majorBidi"/>
                <w:szCs w:val="22"/>
              </w:rPr>
              <w:t xml:space="preserve"> </w:t>
            </w:r>
            <w:r w:rsidR="00DA6D81" w:rsidRPr="008B0F0E">
              <w:rPr>
                <w:rFonts w:asciiTheme="majorBidi" w:hAnsiTheme="majorBidi" w:cstheme="majorBidi"/>
                <w:szCs w:val="22"/>
              </w:rPr>
              <w:t xml:space="preserve">is now being implemented under </w:t>
            </w:r>
            <w:r w:rsidRPr="008B0F0E">
              <w:rPr>
                <w:rFonts w:asciiTheme="majorBidi" w:hAnsiTheme="majorBidi" w:cstheme="majorBidi"/>
                <w:szCs w:val="22"/>
              </w:rPr>
              <w:t>phase II of the project which</w:t>
            </w:r>
            <w:r w:rsidR="0036099F" w:rsidRPr="008B0F0E">
              <w:rPr>
                <w:rFonts w:asciiTheme="majorBidi" w:hAnsiTheme="majorBidi" w:cstheme="majorBidi"/>
                <w:szCs w:val="22"/>
              </w:rPr>
              <w:t xml:space="preserve"> builds</w:t>
            </w:r>
            <w:r w:rsidR="004C08D3" w:rsidRPr="008B0F0E">
              <w:rPr>
                <w:rFonts w:asciiTheme="majorBidi" w:hAnsiTheme="majorBidi" w:cstheme="majorBidi"/>
                <w:szCs w:val="22"/>
              </w:rPr>
              <w:t xml:space="preserve"> on </w:t>
            </w:r>
            <w:r w:rsidR="00C73156" w:rsidRPr="008B0F0E">
              <w:rPr>
                <w:rFonts w:asciiTheme="majorBidi" w:hAnsiTheme="majorBidi" w:cstheme="majorBidi"/>
                <w:szCs w:val="22"/>
              </w:rPr>
              <w:t>previous experiences</w:t>
            </w:r>
            <w:r w:rsidRPr="008B0F0E">
              <w:rPr>
                <w:rFonts w:asciiTheme="majorBidi" w:hAnsiTheme="majorBidi" w:cstheme="majorBidi"/>
                <w:szCs w:val="22"/>
              </w:rPr>
              <w:t xml:space="preserve"> and</w:t>
            </w:r>
            <w:r w:rsidR="00C73156" w:rsidRPr="008B0F0E">
              <w:rPr>
                <w:rFonts w:asciiTheme="majorBidi" w:hAnsiTheme="majorBidi" w:cstheme="majorBidi"/>
                <w:szCs w:val="22"/>
              </w:rPr>
              <w:t xml:space="preserve"> lessons learned</w:t>
            </w:r>
            <w:r w:rsidRPr="008B0F0E">
              <w:rPr>
                <w:rFonts w:asciiTheme="majorBidi" w:hAnsiTheme="majorBidi" w:cstheme="majorBidi"/>
                <w:szCs w:val="22"/>
              </w:rPr>
              <w:t xml:space="preserve"> through</w:t>
            </w:r>
            <w:r w:rsidR="00C73156" w:rsidRPr="008B0F0E">
              <w:rPr>
                <w:rFonts w:asciiTheme="majorBidi" w:hAnsiTheme="majorBidi" w:cstheme="majorBidi"/>
                <w:szCs w:val="22"/>
              </w:rPr>
              <w:t xml:space="preserve"> utilizing</w:t>
            </w:r>
            <w:r w:rsidR="004B098D">
              <w:rPr>
                <w:rFonts w:asciiTheme="majorBidi" w:hAnsiTheme="majorBidi" w:cstheme="majorBidi"/>
                <w:szCs w:val="22"/>
              </w:rPr>
              <w:t xml:space="preserve"> </w:t>
            </w:r>
            <w:r w:rsidR="0036099F" w:rsidRPr="008B0F0E">
              <w:rPr>
                <w:rFonts w:asciiTheme="majorBidi" w:hAnsiTheme="majorBidi" w:cstheme="majorBidi"/>
                <w:szCs w:val="22"/>
              </w:rPr>
              <w:t xml:space="preserve">site </w:t>
            </w:r>
            <w:r w:rsidR="004C08D3" w:rsidRPr="008B0F0E">
              <w:rPr>
                <w:rFonts w:asciiTheme="majorBidi" w:hAnsiTheme="majorBidi" w:cstheme="majorBidi"/>
                <w:szCs w:val="22"/>
              </w:rPr>
              <w:t xml:space="preserve">teams that were established earlier to work within the community on different </w:t>
            </w:r>
            <w:r w:rsidR="0036099F" w:rsidRPr="008B0F0E">
              <w:rPr>
                <w:rFonts w:asciiTheme="majorBidi" w:hAnsiTheme="majorBidi" w:cstheme="majorBidi"/>
                <w:szCs w:val="22"/>
              </w:rPr>
              <w:t>technical and social aspects of data collection</w:t>
            </w:r>
            <w:r w:rsidR="00764AF3" w:rsidRPr="008B0F0E">
              <w:rPr>
                <w:rFonts w:asciiTheme="majorBidi" w:hAnsiTheme="majorBidi" w:cstheme="majorBidi"/>
                <w:szCs w:val="22"/>
              </w:rPr>
              <w:t>,</w:t>
            </w:r>
            <w:r w:rsidR="0036099F" w:rsidRPr="008B0F0E">
              <w:rPr>
                <w:rFonts w:asciiTheme="majorBidi" w:hAnsiTheme="majorBidi" w:cstheme="majorBidi"/>
                <w:szCs w:val="22"/>
              </w:rPr>
              <w:t xml:space="preserve"> documentation</w:t>
            </w:r>
            <w:r w:rsidR="00764AF3" w:rsidRPr="008B0F0E">
              <w:rPr>
                <w:rFonts w:asciiTheme="majorBidi" w:hAnsiTheme="majorBidi" w:cstheme="majorBidi"/>
                <w:szCs w:val="22"/>
              </w:rPr>
              <w:t xml:space="preserve"> and community engagement</w:t>
            </w:r>
            <w:r w:rsidR="0036099F" w:rsidRPr="008B0F0E">
              <w:rPr>
                <w:rFonts w:asciiTheme="majorBidi" w:hAnsiTheme="majorBidi" w:cstheme="majorBidi"/>
                <w:szCs w:val="22"/>
              </w:rPr>
              <w:t>.</w:t>
            </w:r>
          </w:p>
          <w:p w14:paraId="1E6D2E87" w14:textId="77777777" w:rsidR="0036099F" w:rsidRPr="008B0F0E" w:rsidRDefault="0036099F" w:rsidP="00DA6D81">
            <w:pPr>
              <w:autoSpaceDE w:val="0"/>
              <w:adjustRightInd w:val="0"/>
              <w:jc w:val="both"/>
              <w:rPr>
                <w:rFonts w:asciiTheme="majorBidi" w:hAnsiTheme="majorBidi" w:cstheme="majorBidi"/>
                <w:szCs w:val="22"/>
              </w:rPr>
            </w:pPr>
          </w:p>
          <w:p w14:paraId="5D9EAB30" w14:textId="77777777" w:rsidR="00B1251D" w:rsidRPr="008B0F0E" w:rsidRDefault="00B1251D" w:rsidP="00B1251D">
            <w:pPr>
              <w:autoSpaceDE w:val="0"/>
              <w:adjustRightInd w:val="0"/>
              <w:jc w:val="both"/>
              <w:rPr>
                <w:rFonts w:asciiTheme="majorBidi" w:hAnsiTheme="majorBidi" w:cstheme="majorBidi"/>
                <w:b/>
                <w:bCs/>
                <w:szCs w:val="22"/>
              </w:rPr>
            </w:pPr>
            <w:r w:rsidRPr="008B0F0E">
              <w:rPr>
                <w:rFonts w:asciiTheme="majorBidi" w:hAnsiTheme="majorBidi" w:cstheme="majorBidi"/>
                <w:b/>
                <w:bCs/>
                <w:szCs w:val="22"/>
              </w:rPr>
              <w:t xml:space="preserve"> In </w:t>
            </w:r>
            <w:proofErr w:type="spellStart"/>
            <w:r w:rsidRPr="008B0F0E">
              <w:rPr>
                <w:rFonts w:asciiTheme="majorBidi" w:hAnsiTheme="majorBidi" w:cstheme="majorBidi"/>
                <w:b/>
                <w:bCs/>
                <w:szCs w:val="22"/>
              </w:rPr>
              <w:t>Kurani</w:t>
            </w:r>
            <w:r w:rsidR="006504CB">
              <w:rPr>
                <w:rFonts w:asciiTheme="majorBidi" w:hAnsiTheme="majorBidi" w:cstheme="majorBidi"/>
                <w:b/>
                <w:bCs/>
                <w:szCs w:val="22"/>
              </w:rPr>
              <w:t>-</w:t>
            </w:r>
            <w:r w:rsidRPr="008B0F0E">
              <w:rPr>
                <w:rFonts w:asciiTheme="majorBidi" w:hAnsiTheme="majorBidi" w:cstheme="majorBidi"/>
                <w:b/>
                <w:bCs/>
                <w:szCs w:val="22"/>
              </w:rPr>
              <w:t>Ainkawa</w:t>
            </w:r>
            <w:proofErr w:type="spellEnd"/>
            <w:r w:rsidRPr="008B0F0E">
              <w:rPr>
                <w:rFonts w:asciiTheme="majorBidi" w:hAnsiTheme="majorBidi" w:cstheme="majorBidi"/>
                <w:b/>
                <w:bCs/>
                <w:szCs w:val="22"/>
              </w:rPr>
              <w:t>, implementation under the current project includes:</w:t>
            </w:r>
          </w:p>
          <w:p w14:paraId="2B1A287B" w14:textId="77777777" w:rsidR="00B1251D" w:rsidRPr="008B0F0E" w:rsidRDefault="00B1251D" w:rsidP="00B1251D">
            <w:pPr>
              <w:autoSpaceDE w:val="0"/>
              <w:adjustRightInd w:val="0"/>
              <w:jc w:val="both"/>
              <w:rPr>
                <w:rFonts w:asciiTheme="majorBidi" w:hAnsiTheme="majorBidi" w:cstheme="majorBidi"/>
                <w:szCs w:val="22"/>
              </w:rPr>
            </w:pPr>
          </w:p>
          <w:p w14:paraId="258FBA92" w14:textId="77777777" w:rsidR="00B1251D" w:rsidRPr="008B0F0E" w:rsidRDefault="00B1251D" w:rsidP="00B1251D">
            <w:pPr>
              <w:numPr>
                <w:ilvl w:val="0"/>
                <w:numId w:val="13"/>
              </w:numPr>
              <w:suppressAutoHyphens/>
              <w:autoSpaceDE w:val="0"/>
              <w:autoSpaceDN w:val="0"/>
              <w:adjustRightInd w:val="0"/>
              <w:snapToGrid/>
              <w:jc w:val="both"/>
              <w:textAlignment w:val="baseline"/>
              <w:rPr>
                <w:rFonts w:asciiTheme="majorBidi" w:hAnsiTheme="majorBidi" w:cstheme="majorBidi"/>
                <w:szCs w:val="22"/>
              </w:rPr>
            </w:pPr>
            <w:r w:rsidRPr="008B0F0E">
              <w:rPr>
                <w:rFonts w:asciiTheme="majorBidi" w:hAnsiTheme="majorBidi" w:cstheme="majorBidi"/>
                <w:szCs w:val="22"/>
              </w:rPr>
              <w:t>Continue to work with the established  Housing Facilitation Unit (HFU) with local architects and the Local Facilitation Unit (LFU) with women from the neighbourhoods, who conducted various surveys;</w:t>
            </w:r>
          </w:p>
          <w:p w14:paraId="15F53C3F" w14:textId="77777777" w:rsidR="00B1251D" w:rsidRPr="008B0F0E" w:rsidRDefault="00B1251D" w:rsidP="00B1251D">
            <w:pPr>
              <w:numPr>
                <w:ilvl w:val="0"/>
                <w:numId w:val="13"/>
              </w:numPr>
              <w:suppressAutoHyphens/>
              <w:autoSpaceDE w:val="0"/>
              <w:autoSpaceDN w:val="0"/>
              <w:adjustRightInd w:val="0"/>
              <w:snapToGrid/>
              <w:jc w:val="both"/>
              <w:textAlignment w:val="baseline"/>
              <w:rPr>
                <w:rFonts w:asciiTheme="majorBidi" w:hAnsiTheme="majorBidi" w:cstheme="majorBidi"/>
                <w:szCs w:val="22"/>
              </w:rPr>
            </w:pPr>
            <w:r w:rsidRPr="008B0F0E">
              <w:rPr>
                <w:rFonts w:asciiTheme="majorBidi" w:hAnsiTheme="majorBidi" w:cstheme="majorBidi"/>
                <w:szCs w:val="22"/>
              </w:rPr>
              <w:t>Facilitating formalisation of tenure arrangements on private land previously occupied illegally;</w:t>
            </w:r>
          </w:p>
          <w:p w14:paraId="7C15021E" w14:textId="77777777" w:rsidR="00B1251D" w:rsidRPr="008B0F0E" w:rsidRDefault="00B1251D" w:rsidP="00B1251D">
            <w:pPr>
              <w:numPr>
                <w:ilvl w:val="0"/>
                <w:numId w:val="13"/>
              </w:numPr>
              <w:suppressAutoHyphens/>
              <w:autoSpaceDE w:val="0"/>
              <w:autoSpaceDN w:val="0"/>
              <w:adjustRightInd w:val="0"/>
              <w:snapToGrid/>
              <w:jc w:val="both"/>
              <w:textAlignment w:val="baseline"/>
              <w:rPr>
                <w:rFonts w:asciiTheme="majorBidi" w:hAnsiTheme="majorBidi" w:cstheme="majorBidi"/>
                <w:szCs w:val="22"/>
              </w:rPr>
            </w:pPr>
            <w:r w:rsidRPr="008B0F0E">
              <w:rPr>
                <w:rFonts w:asciiTheme="majorBidi" w:hAnsiTheme="majorBidi" w:cstheme="majorBidi"/>
                <w:szCs w:val="22"/>
              </w:rPr>
              <w:t>Relocation with adequate compensation, which includes serviced plots and housing construction loans of households previously occupying government land illegally;</w:t>
            </w:r>
          </w:p>
          <w:p w14:paraId="4CFF32CE" w14:textId="77777777" w:rsidR="00B1251D" w:rsidRPr="008B0F0E" w:rsidRDefault="00B1251D" w:rsidP="00C73156">
            <w:pPr>
              <w:numPr>
                <w:ilvl w:val="0"/>
                <w:numId w:val="13"/>
              </w:numPr>
              <w:suppressAutoHyphens/>
              <w:autoSpaceDE w:val="0"/>
              <w:autoSpaceDN w:val="0"/>
              <w:adjustRightInd w:val="0"/>
              <w:snapToGrid/>
              <w:jc w:val="both"/>
              <w:textAlignment w:val="baseline"/>
              <w:rPr>
                <w:rFonts w:asciiTheme="majorBidi" w:hAnsiTheme="majorBidi" w:cstheme="majorBidi"/>
                <w:szCs w:val="22"/>
              </w:rPr>
            </w:pPr>
            <w:r w:rsidRPr="008B0F0E">
              <w:rPr>
                <w:rFonts w:asciiTheme="majorBidi" w:hAnsiTheme="majorBidi" w:cstheme="majorBidi"/>
                <w:szCs w:val="22"/>
              </w:rPr>
              <w:t>Infrastructure development with funding both from the UN</w:t>
            </w:r>
            <w:r w:rsidR="00C73156" w:rsidRPr="008B0F0E">
              <w:rPr>
                <w:rFonts w:asciiTheme="majorBidi" w:hAnsiTheme="majorBidi" w:cstheme="majorBidi"/>
                <w:szCs w:val="22"/>
              </w:rPr>
              <w:t xml:space="preserve"> ITF</w:t>
            </w:r>
            <w:r w:rsidRPr="008B0F0E">
              <w:rPr>
                <w:rFonts w:asciiTheme="majorBidi" w:hAnsiTheme="majorBidi" w:cstheme="majorBidi"/>
                <w:szCs w:val="22"/>
              </w:rPr>
              <w:t xml:space="preserve"> project</w:t>
            </w:r>
            <w:r w:rsidR="00C73156" w:rsidRPr="008B0F0E">
              <w:rPr>
                <w:rFonts w:asciiTheme="majorBidi" w:hAnsiTheme="majorBidi" w:cstheme="majorBidi"/>
                <w:szCs w:val="22"/>
              </w:rPr>
              <w:t>,</w:t>
            </w:r>
            <w:r w:rsidRPr="008B0F0E">
              <w:rPr>
                <w:rFonts w:asciiTheme="majorBidi" w:hAnsiTheme="majorBidi" w:cstheme="majorBidi"/>
                <w:szCs w:val="22"/>
              </w:rPr>
              <w:t xml:space="preserve"> the Erbil Governorate</w:t>
            </w:r>
            <w:r w:rsidR="00C73156" w:rsidRPr="008B0F0E">
              <w:rPr>
                <w:rFonts w:asciiTheme="majorBidi" w:hAnsiTheme="majorBidi" w:cstheme="majorBidi"/>
                <w:szCs w:val="22"/>
              </w:rPr>
              <w:t xml:space="preserve"> and the current funding from </w:t>
            </w:r>
            <w:proofErr w:type="spellStart"/>
            <w:r w:rsidR="00C73156" w:rsidRPr="008B0F0E">
              <w:rPr>
                <w:rFonts w:asciiTheme="majorBidi" w:hAnsiTheme="majorBidi" w:cstheme="majorBidi"/>
                <w:szCs w:val="22"/>
              </w:rPr>
              <w:t>MoP</w:t>
            </w:r>
            <w:proofErr w:type="spellEnd"/>
            <w:r w:rsidR="00C73156" w:rsidRPr="008B0F0E">
              <w:rPr>
                <w:rFonts w:asciiTheme="majorBidi" w:hAnsiTheme="majorBidi" w:cstheme="majorBidi"/>
                <w:szCs w:val="22"/>
              </w:rPr>
              <w:t>.</w:t>
            </w:r>
          </w:p>
          <w:p w14:paraId="754CF70D" w14:textId="77777777" w:rsidR="00B1251D" w:rsidRPr="008B0F0E" w:rsidRDefault="00B1251D" w:rsidP="00B1251D">
            <w:pPr>
              <w:autoSpaceDE w:val="0"/>
              <w:adjustRightInd w:val="0"/>
              <w:jc w:val="both"/>
              <w:rPr>
                <w:rFonts w:asciiTheme="majorBidi" w:hAnsiTheme="majorBidi" w:cstheme="majorBidi"/>
                <w:szCs w:val="22"/>
              </w:rPr>
            </w:pPr>
          </w:p>
          <w:p w14:paraId="24AEB558" w14:textId="77777777" w:rsidR="00B1251D" w:rsidRPr="008B0F0E" w:rsidRDefault="00B1251D" w:rsidP="00620718">
            <w:pPr>
              <w:autoSpaceDE w:val="0"/>
              <w:adjustRightInd w:val="0"/>
              <w:jc w:val="both"/>
              <w:rPr>
                <w:rFonts w:asciiTheme="majorBidi" w:hAnsiTheme="majorBidi" w:cstheme="majorBidi"/>
                <w:szCs w:val="22"/>
              </w:rPr>
            </w:pPr>
            <w:r w:rsidRPr="008B0F0E">
              <w:rPr>
                <w:rFonts w:asciiTheme="majorBidi" w:hAnsiTheme="majorBidi" w:cstheme="majorBidi"/>
                <w:szCs w:val="22"/>
              </w:rPr>
              <w:t xml:space="preserve">The UN project was designed to execute activities to demonstrate </w:t>
            </w:r>
            <w:r w:rsidR="00620718" w:rsidRPr="008B0F0E">
              <w:rPr>
                <w:rFonts w:asciiTheme="majorBidi" w:hAnsiTheme="majorBidi" w:cstheme="majorBidi"/>
                <w:szCs w:val="22"/>
              </w:rPr>
              <w:t xml:space="preserve">some of the </w:t>
            </w:r>
            <w:r w:rsidRPr="008B0F0E">
              <w:rPr>
                <w:rFonts w:asciiTheme="majorBidi" w:hAnsiTheme="majorBidi" w:cstheme="majorBidi"/>
                <w:szCs w:val="22"/>
              </w:rPr>
              <w:t xml:space="preserve">key actions in formalising </w:t>
            </w:r>
            <w:r w:rsidR="00D75BEB" w:rsidRPr="008B0F0E">
              <w:rPr>
                <w:rFonts w:asciiTheme="majorBidi" w:hAnsiTheme="majorBidi" w:cstheme="majorBidi"/>
                <w:szCs w:val="22"/>
              </w:rPr>
              <w:t xml:space="preserve">and improving </w:t>
            </w:r>
            <w:r w:rsidRPr="008B0F0E">
              <w:rPr>
                <w:rFonts w:asciiTheme="majorBidi" w:hAnsiTheme="majorBidi" w:cstheme="majorBidi"/>
                <w:szCs w:val="22"/>
              </w:rPr>
              <w:t>informal settlements</w:t>
            </w:r>
            <w:r w:rsidR="00620718" w:rsidRPr="008B0F0E">
              <w:rPr>
                <w:rFonts w:asciiTheme="majorBidi" w:hAnsiTheme="majorBidi" w:cstheme="majorBidi"/>
                <w:szCs w:val="22"/>
              </w:rPr>
              <w:t>.</w:t>
            </w:r>
            <w:r w:rsidRPr="008B0F0E">
              <w:rPr>
                <w:rFonts w:asciiTheme="majorBidi" w:hAnsiTheme="majorBidi" w:cstheme="majorBidi"/>
                <w:szCs w:val="22"/>
              </w:rPr>
              <w:t xml:space="preserve"> The pilot project </w:t>
            </w:r>
            <w:r w:rsidR="00620718" w:rsidRPr="008B0F0E">
              <w:rPr>
                <w:rFonts w:asciiTheme="majorBidi" w:hAnsiTheme="majorBidi" w:cstheme="majorBidi"/>
                <w:szCs w:val="22"/>
              </w:rPr>
              <w:t xml:space="preserve">aims to implement activities that </w:t>
            </w:r>
            <w:r w:rsidRPr="008B0F0E">
              <w:rPr>
                <w:rFonts w:asciiTheme="majorBidi" w:hAnsiTheme="majorBidi" w:cstheme="majorBidi"/>
                <w:szCs w:val="22"/>
              </w:rPr>
              <w:t xml:space="preserve">serve the entire community, leaving a very visual </w:t>
            </w:r>
            <w:r w:rsidR="00620718" w:rsidRPr="008B0F0E">
              <w:rPr>
                <w:rFonts w:asciiTheme="majorBidi" w:hAnsiTheme="majorBidi" w:cstheme="majorBidi"/>
                <w:szCs w:val="22"/>
              </w:rPr>
              <w:t>example of</w:t>
            </w:r>
            <w:r w:rsidRPr="008B0F0E">
              <w:rPr>
                <w:rFonts w:asciiTheme="majorBidi" w:hAnsiTheme="majorBidi" w:cstheme="majorBidi"/>
                <w:szCs w:val="22"/>
              </w:rPr>
              <w:t xml:space="preserve"> successfully upgrad</w:t>
            </w:r>
            <w:r w:rsidR="00620718" w:rsidRPr="008B0F0E">
              <w:rPr>
                <w:rFonts w:asciiTheme="majorBidi" w:hAnsiTheme="majorBidi" w:cstheme="majorBidi"/>
                <w:szCs w:val="22"/>
              </w:rPr>
              <w:t>ing</w:t>
            </w:r>
            <w:r w:rsidRPr="008B0F0E">
              <w:rPr>
                <w:rFonts w:asciiTheme="majorBidi" w:hAnsiTheme="majorBidi" w:cstheme="majorBidi"/>
                <w:szCs w:val="22"/>
              </w:rPr>
              <w:t xml:space="preserve"> urban settlement</w:t>
            </w:r>
            <w:r w:rsidR="00620718" w:rsidRPr="008B0F0E">
              <w:rPr>
                <w:rFonts w:asciiTheme="majorBidi" w:hAnsiTheme="majorBidi" w:cstheme="majorBidi"/>
                <w:szCs w:val="22"/>
              </w:rPr>
              <w:t xml:space="preserve"> through an integrated approach, which engages and empowers the community</w:t>
            </w:r>
            <w:r w:rsidRPr="008B0F0E">
              <w:rPr>
                <w:rFonts w:asciiTheme="majorBidi" w:hAnsiTheme="majorBidi" w:cstheme="majorBidi"/>
                <w:szCs w:val="22"/>
              </w:rPr>
              <w:t xml:space="preserve">. </w:t>
            </w:r>
          </w:p>
          <w:p w14:paraId="5D6FC21D" w14:textId="77777777" w:rsidR="00B1251D" w:rsidRPr="008B0F0E" w:rsidRDefault="00B1251D" w:rsidP="00B1251D">
            <w:pPr>
              <w:autoSpaceDE w:val="0"/>
              <w:adjustRightInd w:val="0"/>
              <w:jc w:val="both"/>
              <w:rPr>
                <w:rFonts w:asciiTheme="majorBidi" w:hAnsiTheme="majorBidi" w:cstheme="majorBidi"/>
                <w:szCs w:val="22"/>
              </w:rPr>
            </w:pPr>
          </w:p>
          <w:p w14:paraId="2376C7E0" w14:textId="77777777" w:rsidR="00B1251D" w:rsidRPr="008B0F0E" w:rsidRDefault="00B1251D" w:rsidP="00A63CA0">
            <w:pPr>
              <w:autoSpaceDE w:val="0"/>
              <w:adjustRightInd w:val="0"/>
              <w:jc w:val="both"/>
              <w:rPr>
                <w:rFonts w:asciiTheme="majorBidi" w:hAnsiTheme="majorBidi" w:cstheme="majorBidi"/>
                <w:i/>
                <w:szCs w:val="22"/>
              </w:rPr>
            </w:pPr>
            <w:r w:rsidRPr="008B0F0E">
              <w:rPr>
                <w:rFonts w:asciiTheme="majorBidi" w:hAnsiTheme="majorBidi" w:cstheme="majorBidi"/>
                <w:szCs w:val="22"/>
              </w:rPr>
              <w:lastRenderedPageBreak/>
              <w:t>In line with the draft KRG Development Strategy, UN-H</w:t>
            </w:r>
            <w:r w:rsidR="00A63CA0" w:rsidRPr="008B0F0E">
              <w:rPr>
                <w:rFonts w:asciiTheme="majorBidi" w:hAnsiTheme="majorBidi" w:cstheme="majorBidi"/>
                <w:szCs w:val="22"/>
              </w:rPr>
              <w:t>abitat</w:t>
            </w:r>
            <w:r w:rsidRPr="008B0F0E">
              <w:rPr>
                <w:rFonts w:asciiTheme="majorBidi" w:hAnsiTheme="majorBidi" w:cstheme="majorBidi"/>
                <w:szCs w:val="22"/>
              </w:rPr>
              <w:t xml:space="preserve"> and UNDP intend to build on its current work in housing and urban planning, urban policy, urban spatial planning, transport and environmental planning and the KRG Housing Strategy, supporting its implementation in the three governorates. The success of this pilot project as a component of a wider KRG Urbanisation and Housing Programme is essential, in order to develop norms for addressing the issues of informal settlements as well as self-help housing improvements to be applied in all three Governorates.</w:t>
            </w:r>
          </w:p>
          <w:p w14:paraId="1EDEA116" w14:textId="77777777" w:rsidR="00B42281" w:rsidRPr="008B0F0E" w:rsidRDefault="00B42281" w:rsidP="00001E22">
            <w:pPr>
              <w:jc w:val="both"/>
              <w:rPr>
                <w:rFonts w:asciiTheme="majorBidi" w:hAnsiTheme="majorBidi" w:cstheme="majorBidi"/>
                <w:szCs w:val="22"/>
              </w:rPr>
            </w:pPr>
          </w:p>
        </w:tc>
      </w:tr>
    </w:tbl>
    <w:p w14:paraId="0BB093E5" w14:textId="77777777" w:rsidR="0017344B" w:rsidRPr="008B0F0E" w:rsidRDefault="0017344B" w:rsidP="0017344B">
      <w:pPr>
        <w:rPr>
          <w:szCs w:val="22"/>
        </w:rPr>
      </w:pPr>
    </w:p>
    <w:tbl>
      <w:tblPr>
        <w:tblW w:w="10632" w:type="dxa"/>
        <w:jc w:val="center"/>
        <w:tblInd w:w="-176" w:type="dxa"/>
        <w:tblLook w:val="01E0" w:firstRow="1" w:lastRow="1" w:firstColumn="1" w:lastColumn="1" w:noHBand="0" w:noVBand="0"/>
      </w:tblPr>
      <w:tblGrid>
        <w:gridCol w:w="10632"/>
      </w:tblGrid>
      <w:tr w:rsidR="008B0F0E" w:rsidRPr="008B0F0E" w14:paraId="2CA9F48B" w14:textId="77777777" w:rsidTr="00862A29">
        <w:trPr>
          <w:trHeight w:val="368"/>
          <w:jc w:val="center"/>
        </w:trPr>
        <w:tc>
          <w:tcPr>
            <w:tcW w:w="10632" w:type="dxa"/>
            <w:tcBorders>
              <w:top w:val="single" w:sz="4" w:space="0" w:color="auto"/>
              <w:left w:val="single" w:sz="4" w:space="0" w:color="auto"/>
              <w:bottom w:val="single" w:sz="4" w:space="0" w:color="auto"/>
              <w:right w:val="single" w:sz="4" w:space="0" w:color="auto"/>
            </w:tcBorders>
            <w:shd w:val="clear" w:color="auto" w:fill="FFFFCC"/>
            <w:hideMark/>
          </w:tcPr>
          <w:p w14:paraId="1026697F" w14:textId="77777777" w:rsidR="0017344B" w:rsidRPr="008B0F0E" w:rsidRDefault="0017344B" w:rsidP="00DD2D6C">
            <w:pPr>
              <w:rPr>
                <w:szCs w:val="22"/>
              </w:rPr>
            </w:pPr>
            <w:r w:rsidRPr="008B0F0E">
              <w:rPr>
                <w:b/>
                <w:szCs w:val="22"/>
              </w:rPr>
              <w:t>Immediate Objectives</w:t>
            </w:r>
          </w:p>
        </w:tc>
      </w:tr>
      <w:tr w:rsidR="008B0F0E" w:rsidRPr="008B0F0E" w14:paraId="57AB9C9A" w14:textId="77777777" w:rsidTr="00862A29">
        <w:trPr>
          <w:trHeight w:val="647"/>
          <w:jc w:val="center"/>
        </w:trPr>
        <w:tc>
          <w:tcPr>
            <w:tcW w:w="10632" w:type="dxa"/>
            <w:tcBorders>
              <w:top w:val="single" w:sz="4" w:space="0" w:color="auto"/>
              <w:left w:val="single" w:sz="4" w:space="0" w:color="auto"/>
              <w:bottom w:val="single" w:sz="4" w:space="0" w:color="auto"/>
              <w:right w:val="single" w:sz="4" w:space="0" w:color="auto"/>
            </w:tcBorders>
            <w:hideMark/>
          </w:tcPr>
          <w:p w14:paraId="0F17564F" w14:textId="77777777" w:rsidR="005372EC" w:rsidRPr="00761C2E" w:rsidRDefault="00A63CA0" w:rsidP="00D07311">
            <w:pPr>
              <w:pStyle w:val="ListParagraph"/>
              <w:numPr>
                <w:ilvl w:val="0"/>
                <w:numId w:val="15"/>
              </w:numPr>
              <w:ind w:left="360" w:hanging="270"/>
              <w:jc w:val="both"/>
              <w:rPr>
                <w:rFonts w:asciiTheme="majorBidi" w:hAnsiTheme="majorBidi" w:cstheme="majorBidi"/>
                <w:szCs w:val="22"/>
              </w:rPr>
            </w:pPr>
            <w:r w:rsidRPr="00761C2E">
              <w:rPr>
                <w:rFonts w:asciiTheme="majorBidi" w:hAnsiTheme="majorBidi" w:cstheme="majorBidi"/>
                <w:szCs w:val="22"/>
              </w:rPr>
              <w:t>T</w:t>
            </w:r>
            <w:r w:rsidR="00C82C05" w:rsidRPr="00761C2E">
              <w:rPr>
                <w:rFonts w:asciiTheme="majorBidi" w:hAnsiTheme="majorBidi" w:cstheme="majorBidi"/>
                <w:szCs w:val="22"/>
              </w:rPr>
              <w:t>o demonstrate key actions in formalising informal settlements</w:t>
            </w:r>
            <w:r w:rsidR="005372EC" w:rsidRPr="00761C2E">
              <w:rPr>
                <w:rFonts w:asciiTheme="majorBidi" w:hAnsiTheme="majorBidi" w:cstheme="majorBidi"/>
                <w:szCs w:val="22"/>
              </w:rPr>
              <w:t xml:space="preserve">, </w:t>
            </w:r>
          </w:p>
          <w:p w14:paraId="0D56D810" w14:textId="77777777" w:rsidR="0017344B" w:rsidRPr="008B0F0E" w:rsidRDefault="00A63CA0" w:rsidP="00D07311">
            <w:pPr>
              <w:pStyle w:val="ListParagraph"/>
              <w:numPr>
                <w:ilvl w:val="0"/>
                <w:numId w:val="15"/>
              </w:numPr>
              <w:ind w:left="360" w:hanging="270"/>
              <w:jc w:val="both"/>
              <w:rPr>
                <w:szCs w:val="22"/>
              </w:rPr>
            </w:pPr>
            <w:r w:rsidRPr="00761C2E">
              <w:rPr>
                <w:rFonts w:asciiTheme="majorBidi" w:hAnsiTheme="majorBidi" w:cstheme="majorBidi"/>
                <w:szCs w:val="22"/>
              </w:rPr>
              <w:t xml:space="preserve">To </w:t>
            </w:r>
            <w:proofErr w:type="spellStart"/>
            <w:r w:rsidR="00437928" w:rsidRPr="00761C2E">
              <w:rPr>
                <w:rFonts w:asciiTheme="majorBidi" w:hAnsiTheme="majorBidi" w:cstheme="majorBidi"/>
                <w:szCs w:val="22"/>
              </w:rPr>
              <w:t>implementsettlement</w:t>
            </w:r>
            <w:proofErr w:type="spellEnd"/>
            <w:r w:rsidR="005372EC" w:rsidRPr="00761C2E">
              <w:rPr>
                <w:rFonts w:asciiTheme="majorBidi" w:hAnsiTheme="majorBidi" w:cstheme="majorBidi"/>
                <w:szCs w:val="22"/>
              </w:rPr>
              <w:t xml:space="preserve"> upgrading to serve the entire </w:t>
            </w:r>
            <w:proofErr w:type="spellStart"/>
            <w:r w:rsidR="005372EC" w:rsidRPr="00761C2E">
              <w:rPr>
                <w:rFonts w:asciiTheme="majorBidi" w:hAnsiTheme="majorBidi" w:cstheme="majorBidi"/>
                <w:szCs w:val="22"/>
              </w:rPr>
              <w:t>Kurani</w:t>
            </w:r>
            <w:proofErr w:type="spellEnd"/>
            <w:r w:rsidR="000C6A39" w:rsidRPr="00761C2E">
              <w:rPr>
                <w:rFonts w:asciiTheme="majorBidi" w:hAnsiTheme="majorBidi" w:cstheme="majorBidi"/>
                <w:szCs w:val="22"/>
              </w:rPr>
              <w:t xml:space="preserve"> </w:t>
            </w:r>
            <w:proofErr w:type="spellStart"/>
            <w:r w:rsidR="005372EC" w:rsidRPr="00761C2E">
              <w:rPr>
                <w:rFonts w:asciiTheme="majorBidi" w:hAnsiTheme="majorBidi" w:cstheme="majorBidi"/>
                <w:szCs w:val="22"/>
              </w:rPr>
              <w:t>Ainkawa</w:t>
            </w:r>
            <w:proofErr w:type="spellEnd"/>
            <w:r w:rsidR="005372EC" w:rsidRPr="00761C2E">
              <w:rPr>
                <w:rFonts w:asciiTheme="majorBidi" w:hAnsiTheme="majorBidi" w:cstheme="majorBidi"/>
                <w:szCs w:val="22"/>
              </w:rPr>
              <w:t xml:space="preserve"> settlement</w:t>
            </w:r>
            <w:r w:rsidRPr="00761C2E">
              <w:rPr>
                <w:rFonts w:asciiTheme="majorBidi" w:hAnsiTheme="majorBidi" w:cstheme="majorBidi"/>
                <w:szCs w:val="22"/>
              </w:rPr>
              <w:t>.</w:t>
            </w:r>
          </w:p>
        </w:tc>
      </w:tr>
      <w:tr w:rsidR="008B0F0E" w:rsidRPr="008B0F0E" w14:paraId="398BB777" w14:textId="77777777" w:rsidTr="00862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10632" w:type="dxa"/>
            <w:tcBorders>
              <w:top w:val="single" w:sz="4" w:space="0" w:color="auto"/>
              <w:left w:val="single" w:sz="4" w:space="0" w:color="auto"/>
              <w:bottom w:val="single" w:sz="4" w:space="0" w:color="auto"/>
              <w:right w:val="single" w:sz="4" w:space="0" w:color="auto"/>
            </w:tcBorders>
            <w:shd w:val="clear" w:color="auto" w:fill="FFFFCC"/>
            <w:hideMark/>
          </w:tcPr>
          <w:p w14:paraId="6DA3A206" w14:textId="77777777" w:rsidR="004478D5" w:rsidRPr="008B0F0E" w:rsidRDefault="00570D4A" w:rsidP="00570D4A">
            <w:pPr>
              <w:widowControl/>
              <w:tabs>
                <w:tab w:val="left" w:pos="0"/>
              </w:tabs>
              <w:jc w:val="both"/>
              <w:rPr>
                <w:b/>
                <w:szCs w:val="22"/>
              </w:rPr>
            </w:pPr>
            <w:r w:rsidRPr="008B0F0E">
              <w:rPr>
                <w:b/>
                <w:szCs w:val="22"/>
              </w:rPr>
              <w:t>Outputs</w:t>
            </w:r>
          </w:p>
        </w:tc>
      </w:tr>
      <w:tr w:rsidR="008B0F0E" w:rsidRPr="008B0F0E" w14:paraId="61F9BAD4" w14:textId="77777777" w:rsidTr="00862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jc w:val="center"/>
        </w:trPr>
        <w:tc>
          <w:tcPr>
            <w:tcW w:w="10632" w:type="dxa"/>
            <w:tcBorders>
              <w:top w:val="single" w:sz="4" w:space="0" w:color="auto"/>
              <w:left w:val="single" w:sz="4" w:space="0" w:color="auto"/>
              <w:bottom w:val="single" w:sz="4" w:space="0" w:color="auto"/>
              <w:right w:val="single" w:sz="4" w:space="0" w:color="auto"/>
            </w:tcBorders>
            <w:hideMark/>
          </w:tcPr>
          <w:p w14:paraId="400A30AA" w14:textId="77777777" w:rsidR="000B7542" w:rsidRPr="008B0F0E" w:rsidRDefault="002938ED" w:rsidP="00862A29">
            <w:pPr>
              <w:autoSpaceDE w:val="0"/>
              <w:adjustRightInd w:val="0"/>
              <w:ind w:left="986" w:hanging="990"/>
              <w:jc w:val="both"/>
              <w:rPr>
                <w:rFonts w:asciiTheme="majorBidi" w:hAnsiTheme="majorBidi" w:cstheme="majorBidi"/>
                <w:szCs w:val="22"/>
              </w:rPr>
            </w:pPr>
            <w:r w:rsidRPr="008B0F0E">
              <w:rPr>
                <w:rFonts w:asciiTheme="majorBidi" w:hAnsiTheme="majorBidi" w:cstheme="majorBidi"/>
                <w:b/>
                <w:szCs w:val="22"/>
              </w:rPr>
              <w:t>Output 1:</w:t>
            </w:r>
            <w:r w:rsidR="006D0E15" w:rsidRPr="008B0F0E">
              <w:rPr>
                <w:rFonts w:asciiTheme="majorBidi" w:hAnsiTheme="majorBidi" w:cstheme="majorBidi"/>
                <w:b/>
                <w:szCs w:val="22"/>
              </w:rPr>
              <w:t xml:space="preserve"> </w:t>
            </w:r>
            <w:r w:rsidRPr="008B0F0E">
              <w:rPr>
                <w:rFonts w:asciiTheme="majorBidi" w:hAnsiTheme="majorBidi" w:cstheme="majorBidi"/>
                <w:szCs w:val="22"/>
              </w:rPr>
              <w:t xml:space="preserve">Existing pilot neighbourhood upgrading project in </w:t>
            </w:r>
            <w:proofErr w:type="spellStart"/>
            <w:r w:rsidRPr="008B0F0E">
              <w:rPr>
                <w:rFonts w:asciiTheme="majorBidi" w:hAnsiTheme="majorBidi" w:cstheme="majorBidi"/>
                <w:szCs w:val="22"/>
              </w:rPr>
              <w:t>Kurani</w:t>
            </w:r>
            <w:proofErr w:type="spellEnd"/>
            <w:r w:rsidR="000C6A39" w:rsidRPr="008B0F0E">
              <w:rPr>
                <w:rFonts w:asciiTheme="majorBidi" w:hAnsiTheme="majorBidi" w:cstheme="majorBidi"/>
                <w:szCs w:val="22"/>
              </w:rPr>
              <w:t xml:space="preserve"> </w:t>
            </w:r>
            <w:proofErr w:type="spellStart"/>
            <w:r w:rsidRPr="008B0F0E">
              <w:rPr>
                <w:rFonts w:asciiTheme="majorBidi" w:hAnsiTheme="majorBidi" w:cstheme="majorBidi"/>
                <w:szCs w:val="22"/>
              </w:rPr>
              <w:t>Ain</w:t>
            </w:r>
            <w:r w:rsidR="000733C4" w:rsidRPr="008B0F0E">
              <w:rPr>
                <w:rFonts w:asciiTheme="majorBidi" w:hAnsiTheme="majorBidi" w:cstheme="majorBidi"/>
                <w:szCs w:val="22"/>
              </w:rPr>
              <w:t>k</w:t>
            </w:r>
            <w:r w:rsidRPr="008B0F0E">
              <w:rPr>
                <w:rFonts w:asciiTheme="majorBidi" w:hAnsiTheme="majorBidi" w:cstheme="majorBidi"/>
                <w:szCs w:val="22"/>
              </w:rPr>
              <w:t>awa</w:t>
            </w:r>
            <w:proofErr w:type="spellEnd"/>
            <w:r w:rsidRPr="008B0F0E">
              <w:rPr>
                <w:rFonts w:asciiTheme="majorBidi" w:hAnsiTheme="majorBidi" w:cstheme="majorBidi"/>
                <w:szCs w:val="22"/>
              </w:rPr>
              <w:t xml:space="preserve"> establishes the</w:t>
            </w:r>
            <w:r w:rsidR="00761C2E">
              <w:rPr>
                <w:rFonts w:asciiTheme="majorBidi" w:hAnsiTheme="majorBidi" w:cstheme="majorBidi"/>
                <w:szCs w:val="22"/>
              </w:rPr>
              <w:t xml:space="preserve"> </w:t>
            </w:r>
            <w:r w:rsidRPr="008B0F0E">
              <w:rPr>
                <w:rFonts w:asciiTheme="majorBidi" w:hAnsiTheme="majorBidi" w:cstheme="majorBidi"/>
                <w:szCs w:val="22"/>
              </w:rPr>
              <w:t xml:space="preserve">Community Facilities Corridor accessible for pedestrians and vehicles.  </w:t>
            </w:r>
          </w:p>
        </w:tc>
      </w:tr>
      <w:tr w:rsidR="008B0F0E" w:rsidRPr="008B0F0E" w14:paraId="2E4FAFCC" w14:textId="77777777" w:rsidTr="006D0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0632" w:type="dxa"/>
            <w:tcBorders>
              <w:top w:val="single" w:sz="4" w:space="0" w:color="auto"/>
              <w:left w:val="single" w:sz="4" w:space="0" w:color="auto"/>
              <w:bottom w:val="single" w:sz="4" w:space="0" w:color="auto"/>
              <w:right w:val="single" w:sz="4" w:space="0" w:color="auto"/>
            </w:tcBorders>
            <w:hideMark/>
          </w:tcPr>
          <w:p w14:paraId="44814563" w14:textId="77777777" w:rsidR="000B7542" w:rsidRPr="008B0F0E" w:rsidRDefault="00AB5AA6" w:rsidP="00437928">
            <w:pPr>
              <w:tabs>
                <w:tab w:val="left" w:pos="986"/>
              </w:tabs>
              <w:autoSpaceDE w:val="0"/>
              <w:adjustRightInd w:val="0"/>
              <w:ind w:left="986" w:hanging="990"/>
              <w:jc w:val="both"/>
              <w:rPr>
                <w:rFonts w:ascii="Arial" w:hAnsi="Arial" w:cs="Arial"/>
                <w:szCs w:val="22"/>
              </w:rPr>
            </w:pPr>
            <w:r w:rsidRPr="008B0F0E">
              <w:rPr>
                <w:rFonts w:asciiTheme="majorBidi" w:hAnsiTheme="majorBidi" w:cstheme="majorBidi"/>
                <w:b/>
                <w:szCs w:val="22"/>
              </w:rPr>
              <w:t>Output 2:</w:t>
            </w:r>
            <w:r w:rsidR="00761C2E">
              <w:rPr>
                <w:rFonts w:asciiTheme="majorBidi" w:hAnsiTheme="majorBidi" w:cstheme="majorBidi"/>
                <w:b/>
                <w:szCs w:val="22"/>
              </w:rPr>
              <w:t xml:space="preserve"> </w:t>
            </w:r>
            <w:r w:rsidRPr="008B0F0E">
              <w:rPr>
                <w:rFonts w:asciiTheme="majorBidi" w:hAnsiTheme="majorBidi" w:cstheme="majorBidi"/>
                <w:szCs w:val="22"/>
              </w:rPr>
              <w:t xml:space="preserve">Multi-Purpose Hall with a focus on women and youth in </w:t>
            </w:r>
            <w:proofErr w:type="spellStart"/>
            <w:r w:rsidRPr="008B0F0E">
              <w:rPr>
                <w:rFonts w:asciiTheme="majorBidi" w:hAnsiTheme="majorBidi" w:cstheme="majorBidi"/>
                <w:szCs w:val="22"/>
              </w:rPr>
              <w:t>Kurani</w:t>
            </w:r>
            <w:r w:rsidR="00761C2E">
              <w:rPr>
                <w:rFonts w:asciiTheme="majorBidi" w:hAnsiTheme="majorBidi" w:cstheme="majorBidi"/>
                <w:szCs w:val="22"/>
              </w:rPr>
              <w:t>-</w:t>
            </w:r>
            <w:r w:rsidRPr="008B0F0E">
              <w:rPr>
                <w:rFonts w:asciiTheme="majorBidi" w:hAnsiTheme="majorBidi" w:cstheme="majorBidi"/>
                <w:szCs w:val="22"/>
              </w:rPr>
              <w:t>Ainkawa</w:t>
            </w:r>
            <w:proofErr w:type="spellEnd"/>
            <w:r w:rsidRPr="008B0F0E">
              <w:rPr>
                <w:rFonts w:asciiTheme="majorBidi" w:hAnsiTheme="majorBidi" w:cstheme="majorBidi"/>
                <w:szCs w:val="22"/>
              </w:rPr>
              <w:t xml:space="preserve"> constructed,</w:t>
            </w:r>
            <w:r w:rsidR="00761C2E">
              <w:rPr>
                <w:rFonts w:asciiTheme="majorBidi" w:hAnsiTheme="majorBidi" w:cstheme="majorBidi"/>
                <w:szCs w:val="22"/>
              </w:rPr>
              <w:t xml:space="preserve"> </w:t>
            </w:r>
            <w:r w:rsidRPr="008B0F0E">
              <w:rPr>
                <w:rFonts w:asciiTheme="majorBidi" w:hAnsiTheme="majorBidi" w:cstheme="majorBidi"/>
                <w:szCs w:val="22"/>
              </w:rPr>
              <w:t>demonstrating environmentally friendly design features, operated by trained community residents.</w:t>
            </w:r>
          </w:p>
        </w:tc>
      </w:tr>
      <w:tr w:rsidR="008B0F0E" w:rsidRPr="008B0F0E" w14:paraId="2B0D1F70" w14:textId="77777777" w:rsidTr="00862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jc w:val="center"/>
        </w:trPr>
        <w:tc>
          <w:tcPr>
            <w:tcW w:w="10632" w:type="dxa"/>
            <w:tcBorders>
              <w:top w:val="single" w:sz="4" w:space="0" w:color="auto"/>
              <w:left w:val="single" w:sz="4" w:space="0" w:color="auto"/>
              <w:bottom w:val="single" w:sz="4" w:space="0" w:color="auto"/>
              <w:right w:val="single" w:sz="4" w:space="0" w:color="auto"/>
            </w:tcBorders>
          </w:tcPr>
          <w:p w14:paraId="4217EDDD" w14:textId="77777777" w:rsidR="006D0E15" w:rsidRPr="008B0F0E" w:rsidRDefault="006D0E15" w:rsidP="00437928">
            <w:pPr>
              <w:tabs>
                <w:tab w:val="left" w:pos="986"/>
              </w:tabs>
              <w:autoSpaceDE w:val="0"/>
              <w:adjustRightInd w:val="0"/>
              <w:ind w:left="986" w:hanging="990"/>
              <w:jc w:val="both"/>
              <w:rPr>
                <w:rFonts w:asciiTheme="majorBidi" w:hAnsiTheme="majorBidi" w:cstheme="majorBidi"/>
                <w:b/>
                <w:bCs/>
                <w:szCs w:val="22"/>
              </w:rPr>
            </w:pPr>
            <w:r w:rsidRPr="008B0F0E">
              <w:rPr>
                <w:rFonts w:asciiTheme="majorBidi" w:hAnsiTheme="majorBidi" w:cstheme="majorBidi"/>
                <w:b/>
                <w:bCs/>
                <w:szCs w:val="22"/>
              </w:rPr>
              <w:t xml:space="preserve">Output 3: </w:t>
            </w:r>
            <w:r w:rsidRPr="008B0F0E">
              <w:rPr>
                <w:rFonts w:asciiTheme="majorBidi" w:hAnsiTheme="majorBidi" w:cstheme="majorBidi"/>
                <w:szCs w:val="22"/>
              </w:rPr>
              <w:t>Communication material on this project developed and distributed</w:t>
            </w:r>
            <w:r w:rsidR="00761C2E">
              <w:rPr>
                <w:rFonts w:asciiTheme="majorBidi" w:hAnsiTheme="majorBidi" w:cstheme="majorBidi"/>
                <w:szCs w:val="22"/>
              </w:rPr>
              <w:t>.</w:t>
            </w:r>
          </w:p>
        </w:tc>
      </w:tr>
    </w:tbl>
    <w:tbl>
      <w:tblPr>
        <w:tblpPr w:leftFromText="180" w:rightFromText="180" w:vertAnchor="text" w:horzAnchor="margin" w:tblpXSpec="center" w:tblpY="29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1267"/>
        <w:gridCol w:w="179"/>
        <w:gridCol w:w="4675"/>
      </w:tblGrid>
      <w:tr w:rsidR="008B0F0E" w:rsidRPr="008B0F0E" w14:paraId="761F67F3" w14:textId="77777777" w:rsidTr="001F3CE9">
        <w:trPr>
          <w:trHeight w:val="506"/>
        </w:trPr>
        <w:tc>
          <w:tcPr>
            <w:tcW w:w="1063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17BD199" w14:textId="77777777" w:rsidR="00A26D3B" w:rsidRPr="00AD0AE7" w:rsidRDefault="00A26D3B" w:rsidP="00570D4A">
            <w:pPr>
              <w:jc w:val="center"/>
              <w:rPr>
                <w:rFonts w:asciiTheme="majorBidi" w:hAnsiTheme="majorBidi" w:cstheme="majorBidi"/>
                <w:szCs w:val="22"/>
              </w:rPr>
            </w:pPr>
            <w:r w:rsidRPr="00AD0AE7">
              <w:rPr>
                <w:rFonts w:asciiTheme="majorBidi" w:hAnsiTheme="majorBidi" w:cstheme="majorBidi"/>
                <w:b/>
                <w:u w:val="single"/>
              </w:rPr>
              <w:t>Progress on Output</w:t>
            </w:r>
            <w:r w:rsidR="0073546E" w:rsidRPr="00AD0AE7">
              <w:rPr>
                <w:rFonts w:asciiTheme="majorBidi" w:hAnsiTheme="majorBidi" w:cstheme="majorBidi"/>
                <w:b/>
                <w:u w:val="single"/>
              </w:rPr>
              <w:t>s</w:t>
            </w:r>
            <w:r w:rsidRPr="00AD0AE7">
              <w:rPr>
                <w:rFonts w:asciiTheme="majorBidi" w:hAnsiTheme="majorBidi" w:cstheme="majorBidi"/>
                <w:b/>
                <w:u w:val="single"/>
              </w:rPr>
              <w:t xml:space="preserve"> and Activities</w:t>
            </w:r>
            <w:r w:rsidRPr="00AD0AE7">
              <w:rPr>
                <w:rFonts w:asciiTheme="majorBidi" w:hAnsiTheme="majorBidi" w:cstheme="majorBidi"/>
                <w:b/>
              </w:rPr>
              <w:t>:</w:t>
            </w:r>
          </w:p>
          <w:p w14:paraId="7624A01D" w14:textId="77777777" w:rsidR="00A26D3B" w:rsidRPr="00AD0AE7" w:rsidRDefault="00A26D3B" w:rsidP="00570D4A">
            <w:pPr>
              <w:jc w:val="center"/>
              <w:rPr>
                <w:rFonts w:asciiTheme="majorBidi" w:hAnsiTheme="majorBidi" w:cstheme="majorBidi"/>
                <w:b/>
                <w:szCs w:val="22"/>
              </w:rPr>
            </w:pPr>
          </w:p>
        </w:tc>
      </w:tr>
      <w:tr w:rsidR="008B0F0E" w:rsidRPr="008B0F0E" w14:paraId="19171AB5" w14:textId="77777777" w:rsidTr="001F3CE9">
        <w:trPr>
          <w:trHeight w:val="506"/>
        </w:trPr>
        <w:tc>
          <w:tcPr>
            <w:tcW w:w="1063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DE3D961" w14:textId="77777777" w:rsidR="00A26D3B" w:rsidRPr="00AD0AE7" w:rsidRDefault="00A26D3B" w:rsidP="00862A29">
            <w:pPr>
              <w:ind w:left="990" w:hanging="990"/>
              <w:rPr>
                <w:rFonts w:asciiTheme="majorBidi" w:hAnsiTheme="majorBidi" w:cstheme="majorBidi"/>
                <w:b/>
                <w:szCs w:val="22"/>
              </w:rPr>
            </w:pPr>
            <w:r w:rsidRPr="00AD0AE7">
              <w:rPr>
                <w:rFonts w:asciiTheme="majorBidi" w:hAnsiTheme="majorBidi" w:cstheme="majorBidi"/>
                <w:b/>
                <w:szCs w:val="22"/>
              </w:rPr>
              <w:t>Output 1:</w:t>
            </w:r>
            <w:r w:rsidR="00AD0AE7" w:rsidRPr="00AD0AE7">
              <w:rPr>
                <w:rFonts w:asciiTheme="majorBidi" w:hAnsiTheme="majorBidi" w:cstheme="majorBidi"/>
                <w:b/>
                <w:szCs w:val="22"/>
              </w:rPr>
              <w:t xml:space="preserve"> </w:t>
            </w:r>
            <w:r w:rsidRPr="00AD0AE7">
              <w:rPr>
                <w:rFonts w:asciiTheme="majorBidi" w:hAnsiTheme="majorBidi" w:cstheme="majorBidi"/>
                <w:szCs w:val="22"/>
              </w:rPr>
              <w:t xml:space="preserve">Existing pilot neighbourhood upgrading project in </w:t>
            </w:r>
            <w:proofErr w:type="spellStart"/>
            <w:r w:rsidR="006504CB" w:rsidRPr="00AD0AE7">
              <w:rPr>
                <w:rFonts w:asciiTheme="majorBidi" w:hAnsiTheme="majorBidi" w:cstheme="majorBidi"/>
                <w:szCs w:val="22"/>
              </w:rPr>
              <w:t>Kurani-Ainkawa</w:t>
            </w:r>
            <w:proofErr w:type="spellEnd"/>
            <w:r w:rsidR="006504CB" w:rsidRPr="00AD0AE7">
              <w:rPr>
                <w:rFonts w:asciiTheme="majorBidi" w:hAnsiTheme="majorBidi" w:cstheme="majorBidi"/>
                <w:szCs w:val="22"/>
              </w:rPr>
              <w:t xml:space="preserve"> </w:t>
            </w:r>
            <w:r w:rsidRPr="00AD0AE7">
              <w:rPr>
                <w:rFonts w:asciiTheme="majorBidi" w:hAnsiTheme="majorBidi" w:cstheme="majorBidi"/>
                <w:szCs w:val="22"/>
              </w:rPr>
              <w:t>establishes the Community Facilities Corridor accessible for pedestrians and vehicles</w:t>
            </w:r>
            <w:r w:rsidR="00761C2E" w:rsidRPr="00AD0AE7">
              <w:rPr>
                <w:rFonts w:asciiTheme="majorBidi" w:hAnsiTheme="majorBidi" w:cstheme="majorBidi"/>
                <w:szCs w:val="22"/>
              </w:rPr>
              <w:t>.</w:t>
            </w:r>
          </w:p>
        </w:tc>
      </w:tr>
      <w:tr w:rsidR="008B0F0E" w:rsidRPr="008B0F0E" w14:paraId="3A0F5A61" w14:textId="77777777" w:rsidTr="001F3CE9">
        <w:trPr>
          <w:trHeight w:val="506"/>
        </w:trPr>
        <w:tc>
          <w:tcPr>
            <w:tcW w:w="4511" w:type="dxa"/>
            <w:tcBorders>
              <w:top w:val="single" w:sz="4" w:space="0" w:color="auto"/>
              <w:left w:val="single" w:sz="4" w:space="0" w:color="auto"/>
              <w:bottom w:val="single" w:sz="4" w:space="0" w:color="auto"/>
              <w:right w:val="single" w:sz="4" w:space="0" w:color="auto"/>
            </w:tcBorders>
            <w:shd w:val="clear" w:color="auto" w:fill="FFFFCC"/>
            <w:hideMark/>
          </w:tcPr>
          <w:p w14:paraId="26685BA3" w14:textId="77777777" w:rsidR="00A26D3B" w:rsidRPr="00AD0AE7" w:rsidRDefault="00A26D3B" w:rsidP="00570D4A">
            <w:pPr>
              <w:rPr>
                <w:rFonts w:asciiTheme="majorBidi" w:hAnsiTheme="majorBidi" w:cstheme="majorBidi"/>
                <w:b/>
                <w:sz w:val="20"/>
              </w:rPr>
            </w:pPr>
            <w:r w:rsidRPr="00AD0AE7">
              <w:rPr>
                <w:rFonts w:asciiTheme="majorBidi" w:hAnsiTheme="majorBidi" w:cstheme="majorBidi"/>
                <w:b/>
                <w:sz w:val="20"/>
              </w:rPr>
              <w:t>Activities</w:t>
            </w:r>
          </w:p>
        </w:tc>
        <w:tc>
          <w:tcPr>
            <w:tcW w:w="1267" w:type="dxa"/>
            <w:tcBorders>
              <w:top w:val="single" w:sz="4" w:space="0" w:color="auto"/>
              <w:left w:val="single" w:sz="4" w:space="0" w:color="auto"/>
              <w:bottom w:val="single" w:sz="4" w:space="0" w:color="auto"/>
              <w:right w:val="single" w:sz="4" w:space="0" w:color="auto"/>
            </w:tcBorders>
            <w:shd w:val="clear" w:color="auto" w:fill="FFFFCC"/>
          </w:tcPr>
          <w:p w14:paraId="0C903371" w14:textId="77777777" w:rsidR="00A26D3B" w:rsidRPr="00AD0AE7" w:rsidRDefault="00A26D3B" w:rsidP="001F3CE9">
            <w:pPr>
              <w:ind w:right="-108"/>
              <w:rPr>
                <w:rFonts w:asciiTheme="majorBidi" w:hAnsiTheme="majorBidi" w:cstheme="majorBidi"/>
                <w:bCs/>
                <w:sz w:val="20"/>
              </w:rPr>
            </w:pPr>
            <w:r w:rsidRPr="00AD0AE7">
              <w:rPr>
                <w:rFonts w:asciiTheme="majorBidi" w:hAnsiTheme="majorBidi" w:cstheme="majorBidi"/>
                <w:b/>
                <w:sz w:val="20"/>
              </w:rPr>
              <w:t xml:space="preserve">Level of achievement </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CC"/>
          </w:tcPr>
          <w:p w14:paraId="13122482" w14:textId="77777777" w:rsidR="00A26D3B" w:rsidRPr="00AD0AE7" w:rsidRDefault="00A26D3B" w:rsidP="00570D4A">
            <w:pPr>
              <w:rPr>
                <w:rFonts w:asciiTheme="majorBidi" w:hAnsiTheme="majorBidi" w:cstheme="majorBidi"/>
                <w:bCs/>
                <w:sz w:val="20"/>
              </w:rPr>
            </w:pPr>
            <w:r w:rsidRPr="00AD0AE7">
              <w:rPr>
                <w:rFonts w:asciiTheme="majorBidi" w:hAnsiTheme="majorBidi" w:cstheme="majorBidi"/>
                <w:b/>
                <w:sz w:val="20"/>
              </w:rPr>
              <w:t>Remarks</w:t>
            </w:r>
          </w:p>
        </w:tc>
      </w:tr>
      <w:tr w:rsidR="008B0F0E" w:rsidRPr="008B0F0E" w14:paraId="174585A8" w14:textId="77777777" w:rsidTr="001F3CE9">
        <w:trPr>
          <w:trHeight w:val="272"/>
        </w:trPr>
        <w:tc>
          <w:tcPr>
            <w:tcW w:w="10632" w:type="dxa"/>
            <w:gridSpan w:val="4"/>
            <w:tcBorders>
              <w:top w:val="single" w:sz="4" w:space="0" w:color="auto"/>
              <w:left w:val="single" w:sz="4" w:space="0" w:color="auto"/>
              <w:bottom w:val="single" w:sz="4" w:space="0" w:color="auto"/>
              <w:right w:val="single" w:sz="4" w:space="0" w:color="auto"/>
            </w:tcBorders>
            <w:hideMark/>
          </w:tcPr>
          <w:p w14:paraId="7A0B1C31" w14:textId="77777777" w:rsidR="00A26D3B" w:rsidRPr="00AD0AE7" w:rsidRDefault="00A26D3B" w:rsidP="00570D4A">
            <w:pPr>
              <w:rPr>
                <w:rFonts w:asciiTheme="majorBidi" w:hAnsiTheme="majorBidi" w:cstheme="majorBidi"/>
                <w:b/>
                <w:szCs w:val="22"/>
              </w:rPr>
            </w:pPr>
            <w:r w:rsidRPr="00AD0AE7">
              <w:rPr>
                <w:rFonts w:asciiTheme="majorBidi" w:hAnsiTheme="majorBidi" w:cstheme="majorBidi"/>
                <w:b/>
                <w:szCs w:val="22"/>
              </w:rPr>
              <w:t>UN-Habitat</w:t>
            </w:r>
          </w:p>
        </w:tc>
      </w:tr>
      <w:tr w:rsidR="008B0F0E" w:rsidRPr="008B0F0E" w14:paraId="45F04CD6" w14:textId="77777777" w:rsidTr="001F3CE9">
        <w:trPr>
          <w:trHeight w:val="396"/>
        </w:trPr>
        <w:tc>
          <w:tcPr>
            <w:tcW w:w="4511" w:type="dxa"/>
            <w:tcBorders>
              <w:top w:val="single" w:sz="4" w:space="0" w:color="auto"/>
              <w:left w:val="single" w:sz="4" w:space="0" w:color="auto"/>
              <w:bottom w:val="single" w:sz="4" w:space="0" w:color="auto"/>
              <w:right w:val="single" w:sz="4" w:space="0" w:color="auto"/>
            </w:tcBorders>
            <w:hideMark/>
          </w:tcPr>
          <w:p w14:paraId="61252943" w14:textId="77777777" w:rsidR="00A26D3B" w:rsidRPr="00AD0AE7" w:rsidRDefault="00A26D3B" w:rsidP="00570D4A">
            <w:pPr>
              <w:ind w:left="450" w:hanging="450"/>
              <w:rPr>
                <w:rFonts w:asciiTheme="majorBidi" w:hAnsiTheme="majorBidi" w:cstheme="majorBidi"/>
                <w:szCs w:val="22"/>
              </w:rPr>
            </w:pPr>
            <w:r w:rsidRPr="00AD0AE7">
              <w:rPr>
                <w:rFonts w:asciiTheme="majorBidi" w:hAnsiTheme="majorBidi" w:cstheme="majorBidi"/>
                <w:szCs w:val="22"/>
              </w:rPr>
              <w:t xml:space="preserve">1.1: Prepare a revised master plan that removes the requirement for setbacks, minimises relocation and provides access roads and pedestrian links. </w:t>
            </w:r>
          </w:p>
        </w:tc>
        <w:tc>
          <w:tcPr>
            <w:tcW w:w="1267" w:type="dxa"/>
            <w:tcBorders>
              <w:top w:val="single" w:sz="4" w:space="0" w:color="auto"/>
              <w:left w:val="single" w:sz="4" w:space="0" w:color="auto"/>
              <w:bottom w:val="single" w:sz="4" w:space="0" w:color="auto"/>
              <w:right w:val="single" w:sz="4" w:space="0" w:color="auto"/>
            </w:tcBorders>
            <w:hideMark/>
          </w:tcPr>
          <w:p w14:paraId="69ACE81F" w14:textId="77777777" w:rsidR="00A26D3B" w:rsidRPr="00AD0AE7" w:rsidRDefault="00A26D3B" w:rsidP="00570D4A">
            <w:pPr>
              <w:ind w:left="57"/>
              <w:rPr>
                <w:rFonts w:asciiTheme="majorBidi" w:hAnsiTheme="majorBidi" w:cstheme="majorBidi"/>
                <w:bCs/>
                <w:sz w:val="20"/>
              </w:rPr>
            </w:pPr>
            <w:r w:rsidRPr="00AD0AE7">
              <w:rPr>
                <w:rFonts w:asciiTheme="majorBidi" w:hAnsiTheme="majorBidi" w:cstheme="majorBidi"/>
                <w:bCs/>
                <w:sz w:val="20"/>
              </w:rPr>
              <w:t>100%</w:t>
            </w:r>
          </w:p>
        </w:tc>
        <w:tc>
          <w:tcPr>
            <w:tcW w:w="4854" w:type="dxa"/>
            <w:gridSpan w:val="2"/>
            <w:tcBorders>
              <w:top w:val="single" w:sz="4" w:space="0" w:color="auto"/>
              <w:left w:val="single" w:sz="4" w:space="0" w:color="auto"/>
              <w:bottom w:val="single" w:sz="4" w:space="0" w:color="auto"/>
              <w:right w:val="single" w:sz="4" w:space="0" w:color="auto"/>
            </w:tcBorders>
          </w:tcPr>
          <w:p w14:paraId="2951E5F9" w14:textId="77777777" w:rsidR="00A26D3B" w:rsidRPr="00AD0AE7" w:rsidRDefault="00AD0AE7" w:rsidP="00AD0AE7">
            <w:pPr>
              <w:ind w:left="57"/>
              <w:rPr>
                <w:rFonts w:asciiTheme="majorBidi" w:hAnsiTheme="majorBidi" w:cstheme="majorBidi"/>
                <w:bCs/>
                <w:sz w:val="20"/>
              </w:rPr>
            </w:pPr>
            <w:r w:rsidRPr="00AD0AE7">
              <w:rPr>
                <w:rFonts w:asciiTheme="majorBidi" w:hAnsiTheme="majorBidi" w:cstheme="majorBidi"/>
                <w:bCs/>
                <w:sz w:val="20"/>
              </w:rPr>
              <w:t>The Master Plan is not approved yet by Erbil Municipality.</w:t>
            </w:r>
          </w:p>
        </w:tc>
      </w:tr>
      <w:tr w:rsidR="00AD0AE7" w:rsidRPr="008B0F0E" w14:paraId="1E880D88" w14:textId="77777777" w:rsidTr="00AD0AE7">
        <w:trPr>
          <w:trHeight w:val="1387"/>
        </w:trPr>
        <w:tc>
          <w:tcPr>
            <w:tcW w:w="4511" w:type="dxa"/>
            <w:tcBorders>
              <w:top w:val="single" w:sz="4" w:space="0" w:color="auto"/>
              <w:left w:val="single" w:sz="4" w:space="0" w:color="auto"/>
              <w:right w:val="single" w:sz="4" w:space="0" w:color="auto"/>
            </w:tcBorders>
            <w:hideMark/>
          </w:tcPr>
          <w:p w14:paraId="2EC07D3E" w14:textId="77777777" w:rsidR="00AD0AE7" w:rsidRPr="00AD0AE7" w:rsidRDefault="00AD0AE7" w:rsidP="00570D4A">
            <w:pPr>
              <w:ind w:left="450" w:hanging="450"/>
              <w:rPr>
                <w:rFonts w:asciiTheme="majorBidi" w:hAnsiTheme="majorBidi" w:cstheme="majorBidi"/>
                <w:szCs w:val="22"/>
              </w:rPr>
            </w:pPr>
            <w:r w:rsidRPr="00AD0AE7">
              <w:rPr>
                <w:rFonts w:asciiTheme="majorBidi" w:hAnsiTheme="majorBidi" w:cstheme="majorBidi"/>
                <w:szCs w:val="22"/>
              </w:rPr>
              <w:t xml:space="preserve">1.2: Construct road and pedestrian links that demonstrate good environmental design; facilitate access and improves vehicular and pedestrian circulation within Community Facilities Corridor. </w:t>
            </w:r>
          </w:p>
        </w:tc>
        <w:tc>
          <w:tcPr>
            <w:tcW w:w="1267" w:type="dxa"/>
            <w:tcBorders>
              <w:top w:val="single" w:sz="4" w:space="0" w:color="auto"/>
              <w:left w:val="single" w:sz="4" w:space="0" w:color="auto"/>
              <w:right w:val="single" w:sz="4" w:space="0" w:color="auto"/>
            </w:tcBorders>
            <w:hideMark/>
          </w:tcPr>
          <w:p w14:paraId="299182A6" w14:textId="77777777" w:rsidR="00AD0AE7" w:rsidRPr="00AD0AE7" w:rsidRDefault="00AD0AE7" w:rsidP="00570D4A">
            <w:pPr>
              <w:ind w:left="57"/>
              <w:rPr>
                <w:rFonts w:asciiTheme="majorBidi" w:hAnsiTheme="majorBidi" w:cstheme="majorBidi"/>
                <w:bCs/>
                <w:sz w:val="20"/>
              </w:rPr>
            </w:pPr>
            <w:r w:rsidRPr="00AD0AE7">
              <w:rPr>
                <w:rFonts w:asciiTheme="majorBidi" w:hAnsiTheme="majorBidi" w:cstheme="majorBidi"/>
                <w:bCs/>
                <w:sz w:val="20"/>
              </w:rPr>
              <w:t>100%</w:t>
            </w:r>
          </w:p>
        </w:tc>
        <w:tc>
          <w:tcPr>
            <w:tcW w:w="4854" w:type="dxa"/>
            <w:gridSpan w:val="2"/>
            <w:tcBorders>
              <w:top w:val="single" w:sz="4" w:space="0" w:color="auto"/>
              <w:left w:val="single" w:sz="4" w:space="0" w:color="auto"/>
              <w:right w:val="single" w:sz="4" w:space="0" w:color="auto"/>
            </w:tcBorders>
          </w:tcPr>
          <w:p w14:paraId="4E4DECF3" w14:textId="77777777" w:rsidR="00AD0AE7" w:rsidRPr="00AD0AE7" w:rsidRDefault="00AD0AE7" w:rsidP="00AD0AE7">
            <w:pPr>
              <w:rPr>
                <w:rFonts w:asciiTheme="majorBidi" w:hAnsiTheme="majorBidi" w:cstheme="majorBidi"/>
                <w:bCs/>
                <w:sz w:val="20"/>
              </w:rPr>
            </w:pPr>
          </w:p>
        </w:tc>
      </w:tr>
      <w:tr w:rsidR="008B0F0E" w:rsidRPr="008B0F0E" w14:paraId="7E50D4DB" w14:textId="77777777" w:rsidTr="001F3CE9">
        <w:trPr>
          <w:trHeight w:val="263"/>
        </w:trPr>
        <w:tc>
          <w:tcPr>
            <w:tcW w:w="1063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647BD96B" w14:textId="77777777" w:rsidR="00A26D3B" w:rsidRPr="00AD0AE7" w:rsidRDefault="00A26D3B" w:rsidP="00862A29">
            <w:pPr>
              <w:ind w:left="990" w:hanging="990"/>
              <w:rPr>
                <w:rFonts w:asciiTheme="majorBidi" w:hAnsiTheme="majorBidi" w:cstheme="majorBidi"/>
                <w:b/>
                <w:szCs w:val="22"/>
              </w:rPr>
            </w:pPr>
            <w:r w:rsidRPr="00AD0AE7">
              <w:rPr>
                <w:rFonts w:asciiTheme="majorBidi" w:hAnsiTheme="majorBidi" w:cstheme="majorBidi"/>
                <w:b/>
                <w:szCs w:val="22"/>
              </w:rPr>
              <w:t>Output 2:</w:t>
            </w:r>
            <w:r w:rsidR="008B0F0E" w:rsidRPr="00AD0AE7">
              <w:rPr>
                <w:rFonts w:asciiTheme="majorBidi" w:hAnsiTheme="majorBidi" w:cstheme="majorBidi"/>
                <w:b/>
                <w:szCs w:val="22"/>
              </w:rPr>
              <w:t xml:space="preserve"> </w:t>
            </w:r>
            <w:r w:rsidRPr="00AD0AE7">
              <w:rPr>
                <w:rFonts w:asciiTheme="majorBidi" w:hAnsiTheme="majorBidi" w:cstheme="majorBidi"/>
                <w:szCs w:val="22"/>
              </w:rPr>
              <w:t xml:space="preserve">Multi-Purpose Hall with a focus on women and youth in </w:t>
            </w:r>
            <w:proofErr w:type="spellStart"/>
            <w:r w:rsidRPr="00AD0AE7">
              <w:rPr>
                <w:rFonts w:asciiTheme="majorBidi" w:hAnsiTheme="majorBidi" w:cstheme="majorBidi"/>
                <w:szCs w:val="22"/>
              </w:rPr>
              <w:t>Kurani</w:t>
            </w:r>
            <w:proofErr w:type="spellEnd"/>
            <w:r w:rsidR="009A2FAE" w:rsidRPr="00AD0AE7">
              <w:rPr>
                <w:rFonts w:asciiTheme="majorBidi" w:hAnsiTheme="majorBidi" w:cstheme="majorBidi"/>
                <w:szCs w:val="22"/>
              </w:rPr>
              <w:t xml:space="preserve"> </w:t>
            </w:r>
            <w:proofErr w:type="spellStart"/>
            <w:r w:rsidRPr="00AD0AE7">
              <w:rPr>
                <w:rFonts w:asciiTheme="majorBidi" w:hAnsiTheme="majorBidi" w:cstheme="majorBidi"/>
                <w:szCs w:val="22"/>
              </w:rPr>
              <w:t>Ain</w:t>
            </w:r>
            <w:r w:rsidR="00862A29" w:rsidRPr="00AD0AE7">
              <w:rPr>
                <w:rFonts w:asciiTheme="majorBidi" w:hAnsiTheme="majorBidi" w:cstheme="majorBidi"/>
                <w:szCs w:val="22"/>
              </w:rPr>
              <w:t>kawa</w:t>
            </w:r>
            <w:proofErr w:type="spellEnd"/>
            <w:r w:rsidR="00862A29" w:rsidRPr="00AD0AE7">
              <w:rPr>
                <w:rFonts w:asciiTheme="majorBidi" w:hAnsiTheme="majorBidi" w:cstheme="majorBidi"/>
                <w:szCs w:val="22"/>
              </w:rPr>
              <w:t xml:space="preserve"> constructed, demonstrating </w:t>
            </w:r>
            <w:r w:rsidRPr="00AD0AE7">
              <w:rPr>
                <w:rFonts w:asciiTheme="majorBidi" w:hAnsiTheme="majorBidi" w:cstheme="majorBidi"/>
                <w:szCs w:val="22"/>
              </w:rPr>
              <w:t>environmentally friendly design features, operated by trained community residents.</w:t>
            </w:r>
          </w:p>
        </w:tc>
      </w:tr>
      <w:tr w:rsidR="008B0F0E" w:rsidRPr="008B0F0E" w14:paraId="1C951096" w14:textId="77777777" w:rsidTr="001F3CE9">
        <w:trPr>
          <w:trHeight w:val="396"/>
        </w:trPr>
        <w:tc>
          <w:tcPr>
            <w:tcW w:w="4511" w:type="dxa"/>
            <w:tcBorders>
              <w:top w:val="single" w:sz="4" w:space="0" w:color="auto"/>
              <w:left w:val="single" w:sz="4" w:space="0" w:color="auto"/>
              <w:bottom w:val="single" w:sz="4" w:space="0" w:color="auto"/>
              <w:right w:val="single" w:sz="4" w:space="0" w:color="auto"/>
            </w:tcBorders>
            <w:shd w:val="clear" w:color="auto" w:fill="FFFFCC"/>
            <w:hideMark/>
          </w:tcPr>
          <w:p w14:paraId="7E02C07A" w14:textId="77777777" w:rsidR="00E6768A" w:rsidRPr="00AD0AE7" w:rsidRDefault="00E6768A" w:rsidP="00570D4A">
            <w:pPr>
              <w:autoSpaceDE w:val="0"/>
              <w:adjustRightInd w:val="0"/>
              <w:ind w:left="450" w:hanging="450"/>
              <w:jc w:val="both"/>
              <w:rPr>
                <w:rFonts w:asciiTheme="majorBidi" w:hAnsiTheme="majorBidi" w:cstheme="majorBidi"/>
                <w:szCs w:val="22"/>
              </w:rPr>
            </w:pPr>
            <w:r w:rsidRPr="00AD0AE7">
              <w:rPr>
                <w:rFonts w:asciiTheme="majorBidi" w:hAnsiTheme="majorBidi" w:cstheme="majorBidi"/>
                <w:b/>
                <w:szCs w:val="22"/>
              </w:rPr>
              <w:t>Activities</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A9F1051" w14:textId="77777777" w:rsidR="00E6768A" w:rsidRPr="00AD0AE7" w:rsidRDefault="00E6768A" w:rsidP="007713DF">
            <w:pPr>
              <w:ind w:left="57"/>
              <w:rPr>
                <w:rFonts w:asciiTheme="majorBidi" w:hAnsiTheme="majorBidi" w:cstheme="majorBidi"/>
                <w:bCs/>
                <w:sz w:val="20"/>
              </w:rPr>
            </w:pPr>
            <w:r w:rsidRPr="00AD0AE7">
              <w:rPr>
                <w:rFonts w:asciiTheme="majorBidi" w:hAnsiTheme="majorBidi" w:cstheme="majorBidi"/>
                <w:b/>
                <w:szCs w:val="22"/>
              </w:rPr>
              <w:t>Level of achievement</w:t>
            </w:r>
          </w:p>
        </w:tc>
        <w:tc>
          <w:tcPr>
            <w:tcW w:w="4675" w:type="dxa"/>
            <w:tcBorders>
              <w:top w:val="single" w:sz="4" w:space="0" w:color="auto"/>
              <w:left w:val="single" w:sz="4" w:space="0" w:color="auto"/>
              <w:bottom w:val="single" w:sz="4" w:space="0" w:color="auto"/>
              <w:right w:val="single" w:sz="4" w:space="0" w:color="auto"/>
            </w:tcBorders>
            <w:shd w:val="clear" w:color="auto" w:fill="FFFFCC"/>
          </w:tcPr>
          <w:p w14:paraId="5341C0FA" w14:textId="77777777" w:rsidR="00E6768A" w:rsidRPr="008B0F0E" w:rsidRDefault="00E6768A" w:rsidP="00570D4A">
            <w:pPr>
              <w:ind w:left="57"/>
              <w:rPr>
                <w:bCs/>
                <w:sz w:val="20"/>
              </w:rPr>
            </w:pPr>
            <w:r w:rsidRPr="008B0F0E">
              <w:rPr>
                <w:b/>
                <w:szCs w:val="22"/>
              </w:rPr>
              <w:t>Remarks</w:t>
            </w:r>
          </w:p>
        </w:tc>
      </w:tr>
      <w:tr w:rsidR="008B0F0E" w:rsidRPr="008B0F0E" w14:paraId="20FBFCAD" w14:textId="77777777" w:rsidTr="001F3CE9">
        <w:trPr>
          <w:trHeight w:val="396"/>
        </w:trPr>
        <w:tc>
          <w:tcPr>
            <w:tcW w:w="10632" w:type="dxa"/>
            <w:gridSpan w:val="4"/>
            <w:tcBorders>
              <w:top w:val="single" w:sz="4" w:space="0" w:color="auto"/>
              <w:left w:val="single" w:sz="4" w:space="0" w:color="auto"/>
              <w:bottom w:val="single" w:sz="4" w:space="0" w:color="auto"/>
              <w:right w:val="single" w:sz="4" w:space="0" w:color="auto"/>
            </w:tcBorders>
            <w:hideMark/>
          </w:tcPr>
          <w:p w14:paraId="1DAA1533" w14:textId="77777777" w:rsidR="00E6768A" w:rsidRPr="00AD0AE7" w:rsidRDefault="00E6768A" w:rsidP="00570D4A">
            <w:pPr>
              <w:ind w:left="57"/>
              <w:rPr>
                <w:rFonts w:asciiTheme="majorBidi" w:hAnsiTheme="majorBidi" w:cstheme="majorBidi"/>
                <w:bCs/>
                <w:sz w:val="20"/>
              </w:rPr>
            </w:pPr>
            <w:r w:rsidRPr="00AD0AE7">
              <w:rPr>
                <w:rFonts w:asciiTheme="majorBidi" w:hAnsiTheme="majorBidi" w:cstheme="majorBidi"/>
                <w:b/>
                <w:szCs w:val="22"/>
              </w:rPr>
              <w:t>UNDP</w:t>
            </w:r>
          </w:p>
        </w:tc>
      </w:tr>
      <w:tr w:rsidR="008B0F0E" w:rsidRPr="008B0F0E" w14:paraId="294BD921" w14:textId="77777777" w:rsidTr="001F3CE9">
        <w:trPr>
          <w:trHeight w:val="396"/>
        </w:trPr>
        <w:tc>
          <w:tcPr>
            <w:tcW w:w="4511" w:type="dxa"/>
            <w:tcBorders>
              <w:top w:val="single" w:sz="4" w:space="0" w:color="auto"/>
              <w:left w:val="single" w:sz="4" w:space="0" w:color="auto"/>
              <w:bottom w:val="single" w:sz="4" w:space="0" w:color="auto"/>
              <w:right w:val="single" w:sz="4" w:space="0" w:color="auto"/>
            </w:tcBorders>
            <w:hideMark/>
          </w:tcPr>
          <w:p w14:paraId="7E1946B2" w14:textId="77777777" w:rsidR="000C6A39" w:rsidRPr="00AD0AE7" w:rsidRDefault="000C6A39" w:rsidP="000C6A39">
            <w:pPr>
              <w:autoSpaceDE w:val="0"/>
              <w:adjustRightInd w:val="0"/>
              <w:ind w:left="450" w:hanging="450"/>
              <w:jc w:val="both"/>
              <w:rPr>
                <w:rFonts w:asciiTheme="majorBidi" w:hAnsiTheme="majorBidi" w:cstheme="majorBidi"/>
                <w:szCs w:val="22"/>
              </w:rPr>
            </w:pPr>
            <w:r w:rsidRPr="00AD0AE7">
              <w:rPr>
                <w:rFonts w:asciiTheme="majorBidi" w:hAnsiTheme="majorBidi" w:cstheme="majorBidi"/>
                <w:szCs w:val="22"/>
              </w:rPr>
              <w:t>2.1: C</w:t>
            </w:r>
            <w:r w:rsidR="009A2FAE" w:rsidRPr="00AD0AE7">
              <w:rPr>
                <w:rFonts w:asciiTheme="majorBidi" w:hAnsiTheme="majorBidi" w:cstheme="majorBidi"/>
                <w:szCs w:val="22"/>
              </w:rPr>
              <w:t xml:space="preserve">onstruct the Multi-purpose Hall </w:t>
            </w:r>
          </w:p>
          <w:p w14:paraId="2ABA104E" w14:textId="77777777" w:rsidR="000C6A39" w:rsidRPr="00AD0AE7" w:rsidRDefault="000C6A39" w:rsidP="000C6A39">
            <w:pPr>
              <w:rPr>
                <w:rFonts w:asciiTheme="majorBidi" w:hAnsiTheme="majorBidi" w:cstheme="majorBidi"/>
                <w:b/>
                <w:szCs w:val="22"/>
              </w:rPr>
            </w:pPr>
          </w:p>
        </w:tc>
        <w:tc>
          <w:tcPr>
            <w:tcW w:w="1446" w:type="dxa"/>
            <w:gridSpan w:val="2"/>
            <w:tcBorders>
              <w:top w:val="single" w:sz="4" w:space="0" w:color="auto"/>
              <w:left w:val="single" w:sz="4" w:space="0" w:color="auto"/>
              <w:bottom w:val="single" w:sz="4" w:space="0" w:color="auto"/>
              <w:right w:val="single" w:sz="4" w:space="0" w:color="auto"/>
            </w:tcBorders>
            <w:hideMark/>
          </w:tcPr>
          <w:p w14:paraId="3F103AB5" w14:textId="77777777" w:rsidR="000C6A39" w:rsidRPr="00AD0AE7" w:rsidRDefault="000C6A39" w:rsidP="000C6A39">
            <w:pPr>
              <w:ind w:left="57"/>
              <w:rPr>
                <w:rFonts w:asciiTheme="majorBidi" w:hAnsiTheme="majorBidi" w:cstheme="majorBidi"/>
                <w:bCs/>
                <w:sz w:val="20"/>
              </w:rPr>
            </w:pPr>
            <w:r w:rsidRPr="00AD0AE7">
              <w:rPr>
                <w:rFonts w:asciiTheme="majorBidi" w:hAnsiTheme="majorBidi" w:cstheme="majorBidi"/>
                <w:bCs/>
                <w:sz w:val="20"/>
              </w:rPr>
              <w:t>20%</w:t>
            </w:r>
          </w:p>
        </w:tc>
        <w:tc>
          <w:tcPr>
            <w:tcW w:w="4675" w:type="dxa"/>
            <w:tcBorders>
              <w:top w:val="single" w:sz="4" w:space="0" w:color="auto"/>
              <w:left w:val="single" w:sz="4" w:space="0" w:color="auto"/>
              <w:bottom w:val="single" w:sz="4" w:space="0" w:color="auto"/>
              <w:right w:val="single" w:sz="4" w:space="0" w:color="auto"/>
            </w:tcBorders>
          </w:tcPr>
          <w:p w14:paraId="6CA8F855" w14:textId="77777777" w:rsidR="000B4F85" w:rsidRPr="008B0F0E" w:rsidRDefault="00AD0AE7" w:rsidP="006D0E15">
            <w:pPr>
              <w:ind w:left="57"/>
              <w:rPr>
                <w:bCs/>
                <w:sz w:val="20"/>
              </w:rPr>
            </w:pPr>
            <w:r>
              <w:rPr>
                <w:bCs/>
                <w:sz w:val="20"/>
              </w:rPr>
              <w:t>The contractor (Dalo Group Companies) completed excavations, cast foundation concrete, built under DPC, cast DPC, built 50% of the parameter fence, and built the generator room.</w:t>
            </w:r>
            <w:r w:rsidR="00490F0D" w:rsidRPr="008B0F0E">
              <w:rPr>
                <w:bCs/>
                <w:sz w:val="20"/>
              </w:rPr>
              <w:t xml:space="preserve">  </w:t>
            </w:r>
          </w:p>
        </w:tc>
      </w:tr>
      <w:tr w:rsidR="008B0F0E" w:rsidRPr="008B0F0E" w14:paraId="685275F8" w14:textId="77777777" w:rsidTr="001F3CE9">
        <w:trPr>
          <w:trHeight w:val="396"/>
        </w:trPr>
        <w:tc>
          <w:tcPr>
            <w:tcW w:w="4511" w:type="dxa"/>
            <w:tcBorders>
              <w:top w:val="single" w:sz="4" w:space="0" w:color="auto"/>
              <w:left w:val="single" w:sz="4" w:space="0" w:color="auto"/>
              <w:bottom w:val="single" w:sz="4" w:space="0" w:color="auto"/>
              <w:right w:val="single" w:sz="4" w:space="0" w:color="auto"/>
            </w:tcBorders>
            <w:hideMark/>
          </w:tcPr>
          <w:p w14:paraId="5DD59164" w14:textId="77777777" w:rsidR="000C6A39" w:rsidRPr="008B0F0E" w:rsidRDefault="000C6A39" w:rsidP="000C6A39">
            <w:pPr>
              <w:ind w:left="450" w:hanging="450"/>
              <w:rPr>
                <w:b/>
                <w:szCs w:val="22"/>
              </w:rPr>
            </w:pPr>
            <w:r w:rsidRPr="008B0F0E">
              <w:rPr>
                <w:rFonts w:ascii="Arial" w:hAnsi="Arial" w:cs="Arial"/>
                <w:szCs w:val="22"/>
              </w:rPr>
              <w:t>2.2: Landscape the</w:t>
            </w:r>
            <w:r w:rsidR="0097471D" w:rsidRPr="008B0F0E">
              <w:rPr>
                <w:rFonts w:ascii="Arial" w:hAnsi="Arial" w:cs="Arial"/>
                <w:szCs w:val="22"/>
              </w:rPr>
              <w:t xml:space="preserve"> site of the Multi-purpose Hall</w:t>
            </w:r>
            <w:r w:rsidRPr="008B0F0E">
              <w:rPr>
                <w:rFonts w:ascii="Arial" w:hAnsi="Arial" w:cs="Arial"/>
                <w:szCs w:val="22"/>
              </w:rPr>
              <w:t xml:space="preserve">  </w:t>
            </w:r>
          </w:p>
        </w:tc>
        <w:tc>
          <w:tcPr>
            <w:tcW w:w="1446" w:type="dxa"/>
            <w:gridSpan w:val="2"/>
            <w:tcBorders>
              <w:top w:val="single" w:sz="4" w:space="0" w:color="auto"/>
              <w:left w:val="single" w:sz="4" w:space="0" w:color="auto"/>
              <w:bottom w:val="single" w:sz="4" w:space="0" w:color="auto"/>
              <w:right w:val="single" w:sz="4" w:space="0" w:color="auto"/>
            </w:tcBorders>
            <w:hideMark/>
          </w:tcPr>
          <w:p w14:paraId="65379154" w14:textId="77777777" w:rsidR="000C6A39" w:rsidRPr="008B0F0E" w:rsidRDefault="00030734" w:rsidP="000C6A39">
            <w:pPr>
              <w:ind w:left="57"/>
              <w:rPr>
                <w:bCs/>
                <w:sz w:val="20"/>
              </w:rPr>
            </w:pPr>
            <w:r w:rsidRPr="008B0F0E">
              <w:rPr>
                <w:bCs/>
                <w:sz w:val="20"/>
              </w:rPr>
              <w:t>90</w:t>
            </w:r>
            <w:r w:rsidR="000C6A39" w:rsidRPr="008B0F0E">
              <w:rPr>
                <w:bCs/>
                <w:sz w:val="20"/>
              </w:rPr>
              <w:t>%</w:t>
            </w:r>
            <w:r w:rsidRPr="008B0F0E">
              <w:rPr>
                <w:bCs/>
                <w:sz w:val="20"/>
              </w:rPr>
              <w:t xml:space="preserve"> (The activities conducted by UNDP were </w:t>
            </w:r>
            <w:r w:rsidRPr="008B0F0E">
              <w:rPr>
                <w:bCs/>
                <w:sz w:val="20"/>
              </w:rPr>
              <w:lastRenderedPageBreak/>
              <w:t xml:space="preserve">completed. The remaining activities should be completed by Erbil Governorate) </w:t>
            </w:r>
          </w:p>
        </w:tc>
        <w:tc>
          <w:tcPr>
            <w:tcW w:w="4675" w:type="dxa"/>
            <w:tcBorders>
              <w:top w:val="single" w:sz="4" w:space="0" w:color="auto"/>
              <w:left w:val="single" w:sz="4" w:space="0" w:color="auto"/>
              <w:bottom w:val="single" w:sz="4" w:space="0" w:color="auto"/>
              <w:right w:val="single" w:sz="4" w:space="0" w:color="auto"/>
            </w:tcBorders>
          </w:tcPr>
          <w:p w14:paraId="1FCF21DA" w14:textId="77777777" w:rsidR="000C6A39" w:rsidRPr="008B0F0E" w:rsidRDefault="00030734" w:rsidP="009A2FAE">
            <w:pPr>
              <w:ind w:left="57"/>
              <w:rPr>
                <w:bCs/>
                <w:sz w:val="20"/>
              </w:rPr>
            </w:pPr>
            <w:r w:rsidRPr="008B0F0E">
              <w:rPr>
                <w:bCs/>
                <w:sz w:val="20"/>
              </w:rPr>
              <w:lastRenderedPageBreak/>
              <w:t xml:space="preserve">The landscape design was completed by UNDP in May. </w:t>
            </w:r>
            <w:r w:rsidR="000C6A39" w:rsidRPr="008B0F0E">
              <w:rPr>
                <w:bCs/>
                <w:sz w:val="20"/>
              </w:rPr>
              <w:t>Due to funding shortage, it has been agreed with the Erbil Governorate</w:t>
            </w:r>
            <w:r w:rsidR="009A2FAE" w:rsidRPr="008B0F0E">
              <w:rPr>
                <w:bCs/>
                <w:sz w:val="20"/>
              </w:rPr>
              <w:t xml:space="preserve"> Office</w:t>
            </w:r>
            <w:r w:rsidR="000C6A39" w:rsidRPr="008B0F0E">
              <w:rPr>
                <w:bCs/>
                <w:sz w:val="20"/>
              </w:rPr>
              <w:t xml:space="preserve"> that the landscaping works will be implemented by the Governorate with </w:t>
            </w:r>
            <w:r w:rsidR="000C6A39" w:rsidRPr="008B0F0E">
              <w:rPr>
                <w:bCs/>
                <w:sz w:val="20"/>
              </w:rPr>
              <w:lastRenderedPageBreak/>
              <w:t>the design provided by UNDP.</w:t>
            </w:r>
          </w:p>
        </w:tc>
      </w:tr>
      <w:tr w:rsidR="008B0F0E" w:rsidRPr="008B0F0E" w14:paraId="5105C95C" w14:textId="77777777" w:rsidTr="001F3CE9">
        <w:trPr>
          <w:trHeight w:val="360"/>
        </w:trPr>
        <w:tc>
          <w:tcPr>
            <w:tcW w:w="4511" w:type="dxa"/>
            <w:tcBorders>
              <w:top w:val="single" w:sz="4" w:space="0" w:color="auto"/>
              <w:left w:val="single" w:sz="4" w:space="0" w:color="auto"/>
              <w:bottom w:val="single" w:sz="4" w:space="0" w:color="auto"/>
              <w:right w:val="single" w:sz="4" w:space="0" w:color="auto"/>
            </w:tcBorders>
            <w:hideMark/>
          </w:tcPr>
          <w:p w14:paraId="3E8499C3" w14:textId="77777777" w:rsidR="000C6A39" w:rsidRPr="008B0F0E" w:rsidRDefault="000C6A39" w:rsidP="000C6A39">
            <w:pPr>
              <w:ind w:left="450" w:hanging="450"/>
              <w:rPr>
                <w:b/>
                <w:szCs w:val="22"/>
              </w:rPr>
            </w:pPr>
            <w:r w:rsidRPr="008B0F0E">
              <w:rPr>
                <w:rFonts w:ascii="Arial" w:hAnsi="Arial" w:cs="Arial"/>
                <w:szCs w:val="22"/>
              </w:rPr>
              <w:lastRenderedPageBreak/>
              <w:t>2.3: Undertake a participatory process to determine the use and manag</w:t>
            </w:r>
            <w:r w:rsidR="0097471D" w:rsidRPr="008B0F0E">
              <w:rPr>
                <w:rFonts w:ascii="Arial" w:hAnsi="Arial" w:cs="Arial"/>
                <w:szCs w:val="22"/>
              </w:rPr>
              <w:t>ement of the Multi-purpose Hall</w:t>
            </w:r>
          </w:p>
        </w:tc>
        <w:tc>
          <w:tcPr>
            <w:tcW w:w="1446" w:type="dxa"/>
            <w:gridSpan w:val="2"/>
            <w:tcBorders>
              <w:top w:val="single" w:sz="4" w:space="0" w:color="auto"/>
              <w:left w:val="single" w:sz="4" w:space="0" w:color="auto"/>
              <w:bottom w:val="single" w:sz="4" w:space="0" w:color="auto"/>
              <w:right w:val="single" w:sz="4" w:space="0" w:color="auto"/>
            </w:tcBorders>
            <w:hideMark/>
          </w:tcPr>
          <w:p w14:paraId="000BB28C" w14:textId="77777777" w:rsidR="000C6A39" w:rsidRPr="008B0F0E" w:rsidRDefault="000C6A39" w:rsidP="000C6A39">
            <w:pPr>
              <w:ind w:left="57"/>
              <w:rPr>
                <w:bCs/>
                <w:sz w:val="20"/>
              </w:rPr>
            </w:pPr>
            <w:r w:rsidRPr="008B0F0E">
              <w:rPr>
                <w:bCs/>
                <w:sz w:val="20"/>
              </w:rPr>
              <w:t xml:space="preserve">80% </w:t>
            </w:r>
          </w:p>
        </w:tc>
        <w:tc>
          <w:tcPr>
            <w:tcW w:w="4675" w:type="dxa"/>
            <w:tcBorders>
              <w:top w:val="single" w:sz="4" w:space="0" w:color="auto"/>
              <w:left w:val="single" w:sz="4" w:space="0" w:color="auto"/>
              <w:bottom w:val="single" w:sz="4" w:space="0" w:color="auto"/>
              <w:right w:val="single" w:sz="4" w:space="0" w:color="auto"/>
            </w:tcBorders>
          </w:tcPr>
          <w:p w14:paraId="5BCD5D21" w14:textId="77777777" w:rsidR="000C6A39" w:rsidRPr="00205DB0" w:rsidRDefault="000C6A39" w:rsidP="000C6A39">
            <w:pPr>
              <w:rPr>
                <w:bCs/>
                <w:sz w:val="20"/>
              </w:rPr>
            </w:pPr>
            <w:r w:rsidRPr="00205DB0">
              <w:rPr>
                <w:bCs/>
                <w:sz w:val="20"/>
              </w:rPr>
              <w:t xml:space="preserve">Based on the baseline needs assessment survey and consultation with community members, the priority needs for activities to be conducted in the Multi-purpose Hall were identified. </w:t>
            </w:r>
          </w:p>
          <w:p w14:paraId="707AA4A3" w14:textId="77777777" w:rsidR="000C6A39" w:rsidRPr="00205DB0" w:rsidRDefault="000C6A39" w:rsidP="000C6A39">
            <w:pPr>
              <w:rPr>
                <w:bCs/>
                <w:sz w:val="20"/>
              </w:rPr>
            </w:pPr>
          </w:p>
          <w:p w14:paraId="2C0AED0A" w14:textId="77777777" w:rsidR="000C6A39" w:rsidRPr="00205DB0" w:rsidRDefault="000C6A39" w:rsidP="000C6A39">
            <w:pPr>
              <w:rPr>
                <w:bCs/>
                <w:sz w:val="20"/>
              </w:rPr>
            </w:pPr>
            <w:r w:rsidRPr="00205DB0">
              <w:rPr>
                <w:bCs/>
                <w:sz w:val="20"/>
              </w:rPr>
              <w:t xml:space="preserve">While the Multi-purpose Hall will be constructed, </w:t>
            </w:r>
            <w:proofErr w:type="spellStart"/>
            <w:r w:rsidRPr="00205DB0">
              <w:rPr>
                <w:bCs/>
                <w:sz w:val="20"/>
              </w:rPr>
              <w:t>Kurani</w:t>
            </w:r>
            <w:proofErr w:type="spellEnd"/>
            <w:r w:rsidRPr="00205DB0">
              <w:rPr>
                <w:bCs/>
                <w:sz w:val="20"/>
              </w:rPr>
              <w:t xml:space="preserve"> </w:t>
            </w:r>
            <w:proofErr w:type="spellStart"/>
            <w:r w:rsidRPr="00205DB0">
              <w:rPr>
                <w:bCs/>
                <w:sz w:val="20"/>
              </w:rPr>
              <w:t>Ainkawa</w:t>
            </w:r>
            <w:proofErr w:type="spellEnd"/>
            <w:r w:rsidRPr="00205DB0">
              <w:rPr>
                <w:bCs/>
                <w:sz w:val="20"/>
              </w:rPr>
              <w:t xml:space="preserve"> Multi</w:t>
            </w:r>
            <w:r w:rsidR="006D0E15" w:rsidRPr="00205DB0">
              <w:rPr>
                <w:bCs/>
                <w:sz w:val="20"/>
              </w:rPr>
              <w:t>-</w:t>
            </w:r>
            <w:r w:rsidRPr="00205DB0">
              <w:rPr>
                <w:bCs/>
                <w:sz w:val="20"/>
              </w:rPr>
              <w:t xml:space="preserve">Purpose Centre (KAMPC) has already started conducting various community activities as highlighted below, based on the needs addressed by the community members. These activities have helped to build the community’s trust in the project and support to build team spirit in the community. This will increase the community’s participation in constructing the Multi-Purpose Hall, which will build community ownership. </w:t>
            </w:r>
          </w:p>
          <w:p w14:paraId="3A345ACC" w14:textId="77777777" w:rsidR="000C6A39" w:rsidRPr="00205DB0" w:rsidRDefault="000C6A39" w:rsidP="000C6A39">
            <w:pPr>
              <w:rPr>
                <w:bCs/>
                <w:sz w:val="20"/>
              </w:rPr>
            </w:pPr>
          </w:p>
          <w:p w14:paraId="058C0680" w14:textId="77777777" w:rsidR="000C6A39" w:rsidRPr="00205DB0" w:rsidRDefault="000C6A39" w:rsidP="004765D2">
            <w:pPr>
              <w:pStyle w:val="ListParagraph"/>
              <w:numPr>
                <w:ilvl w:val="0"/>
                <w:numId w:val="21"/>
              </w:numPr>
              <w:rPr>
                <w:bCs/>
                <w:sz w:val="20"/>
              </w:rPr>
            </w:pPr>
            <w:r w:rsidRPr="00205DB0">
              <w:rPr>
                <w:bCs/>
                <w:sz w:val="20"/>
              </w:rPr>
              <w:t>KAMPC has received the fund for running the centre activities (literacy and language courses in addition to weekly social and health awareness sessions.) for 6 months (June-Dec. 2013) by applying for Call for Grants from the Directorate of NGOs.</w:t>
            </w:r>
          </w:p>
          <w:p w14:paraId="67E20D6D" w14:textId="77777777" w:rsidR="000C6A39" w:rsidRPr="00205DB0" w:rsidRDefault="000C6A39" w:rsidP="000C6A39">
            <w:pPr>
              <w:rPr>
                <w:bCs/>
                <w:sz w:val="20"/>
              </w:rPr>
            </w:pPr>
          </w:p>
          <w:p w14:paraId="6629FFE3" w14:textId="77777777" w:rsidR="000C6A39" w:rsidRPr="00205DB0" w:rsidRDefault="003455D7" w:rsidP="004765D2">
            <w:pPr>
              <w:pStyle w:val="ListParagraph"/>
              <w:numPr>
                <w:ilvl w:val="0"/>
                <w:numId w:val="21"/>
              </w:numPr>
              <w:rPr>
                <w:bCs/>
                <w:sz w:val="20"/>
              </w:rPr>
            </w:pPr>
            <w:r w:rsidRPr="00205DB0">
              <w:rPr>
                <w:bCs/>
                <w:sz w:val="20"/>
              </w:rPr>
              <w:t>KAMPC has</w:t>
            </w:r>
            <w:r w:rsidR="003A112C" w:rsidRPr="00205DB0">
              <w:rPr>
                <w:bCs/>
                <w:sz w:val="20"/>
              </w:rPr>
              <w:t xml:space="preserve"> been organizing</w:t>
            </w:r>
            <w:r w:rsidRPr="00205DB0">
              <w:rPr>
                <w:bCs/>
                <w:sz w:val="20"/>
              </w:rPr>
              <w:t xml:space="preserve"> sewing and literacy courses in addition to monthly social and health awareness sessions with financial support from </w:t>
            </w:r>
            <w:r w:rsidR="000C6A39" w:rsidRPr="00205DB0">
              <w:rPr>
                <w:bCs/>
                <w:sz w:val="20"/>
              </w:rPr>
              <w:t>Ministry of Culture and Youth</w:t>
            </w:r>
            <w:r w:rsidR="007E5C75" w:rsidRPr="00205DB0">
              <w:rPr>
                <w:bCs/>
                <w:sz w:val="20"/>
              </w:rPr>
              <w:t xml:space="preserve"> </w:t>
            </w:r>
            <w:r w:rsidRPr="00205DB0">
              <w:rPr>
                <w:bCs/>
                <w:sz w:val="20"/>
              </w:rPr>
              <w:t>and UNDP through a NGO (</w:t>
            </w:r>
            <w:r w:rsidR="007E5C75" w:rsidRPr="00205DB0">
              <w:rPr>
                <w:bCs/>
                <w:sz w:val="20"/>
              </w:rPr>
              <w:t>WEO</w:t>
            </w:r>
            <w:r w:rsidRPr="00205DB0">
              <w:rPr>
                <w:bCs/>
                <w:sz w:val="20"/>
              </w:rPr>
              <w:t>)</w:t>
            </w:r>
            <w:r w:rsidR="000C6A39" w:rsidRPr="00205DB0">
              <w:rPr>
                <w:bCs/>
                <w:sz w:val="20"/>
              </w:rPr>
              <w:t xml:space="preserve"> </w:t>
            </w:r>
            <w:r w:rsidRPr="00205DB0">
              <w:rPr>
                <w:bCs/>
                <w:sz w:val="20"/>
              </w:rPr>
              <w:t xml:space="preserve">since June 2013.  </w:t>
            </w:r>
            <w:r w:rsidR="00147302" w:rsidRPr="00205DB0">
              <w:rPr>
                <w:bCs/>
                <w:sz w:val="20"/>
              </w:rPr>
              <w:t xml:space="preserve">To date, 45 women completed </w:t>
            </w:r>
            <w:r w:rsidR="007E5C75" w:rsidRPr="00205DB0">
              <w:rPr>
                <w:bCs/>
                <w:sz w:val="20"/>
              </w:rPr>
              <w:t xml:space="preserve">sewing </w:t>
            </w:r>
            <w:r w:rsidR="00147302" w:rsidRPr="00205DB0">
              <w:rPr>
                <w:bCs/>
                <w:sz w:val="20"/>
              </w:rPr>
              <w:t xml:space="preserve">courses and acquired </w:t>
            </w:r>
            <w:r w:rsidR="009A2FAE" w:rsidRPr="00205DB0">
              <w:rPr>
                <w:bCs/>
                <w:sz w:val="20"/>
              </w:rPr>
              <w:t>the certificate</w:t>
            </w:r>
            <w:r w:rsidR="00147302" w:rsidRPr="00205DB0">
              <w:rPr>
                <w:bCs/>
                <w:sz w:val="20"/>
              </w:rPr>
              <w:t>. The third round course</w:t>
            </w:r>
            <w:r w:rsidR="007E5C75" w:rsidRPr="00205DB0">
              <w:rPr>
                <w:bCs/>
                <w:sz w:val="20"/>
              </w:rPr>
              <w:t xml:space="preserve"> is on-going and 22 women are expected to graduate in January.</w:t>
            </w:r>
            <w:r w:rsidRPr="00205DB0">
              <w:rPr>
                <w:bCs/>
                <w:sz w:val="20"/>
              </w:rPr>
              <w:t xml:space="preserve"> For Literacy Course, a total of 22 women completed the course and obtain </w:t>
            </w:r>
            <w:r w:rsidR="009A2FAE" w:rsidRPr="00205DB0">
              <w:rPr>
                <w:bCs/>
                <w:sz w:val="20"/>
              </w:rPr>
              <w:t>the certificate</w:t>
            </w:r>
            <w:r w:rsidRPr="00205DB0">
              <w:rPr>
                <w:bCs/>
                <w:sz w:val="20"/>
              </w:rPr>
              <w:t xml:space="preserve">. </w:t>
            </w:r>
          </w:p>
          <w:p w14:paraId="744A99E1" w14:textId="77777777" w:rsidR="00584A6B" w:rsidRPr="00205DB0" w:rsidRDefault="00584A6B" w:rsidP="00584A6B">
            <w:pPr>
              <w:pStyle w:val="ListParagraph"/>
              <w:rPr>
                <w:bCs/>
                <w:sz w:val="20"/>
              </w:rPr>
            </w:pPr>
          </w:p>
          <w:p w14:paraId="6CFE3496" w14:textId="77777777" w:rsidR="00584A6B" w:rsidRPr="00205DB0" w:rsidRDefault="00584A6B" w:rsidP="004765D2">
            <w:pPr>
              <w:pStyle w:val="ListParagraph"/>
              <w:numPr>
                <w:ilvl w:val="0"/>
                <w:numId w:val="21"/>
              </w:numPr>
              <w:rPr>
                <w:bCs/>
                <w:sz w:val="20"/>
              </w:rPr>
            </w:pPr>
            <w:r w:rsidRPr="00205DB0">
              <w:rPr>
                <w:bCs/>
                <w:sz w:val="20"/>
              </w:rPr>
              <w:t>2-month English courses have been on-going with grant from   Directorate of NGOs grant to KAMPC.   2 courses have already completed with first 25 female students graduated and second 22 female. Currently the course for 22 boys is in progress and expected to finish at the end of January 2014.</w:t>
            </w:r>
          </w:p>
          <w:p w14:paraId="6F345567" w14:textId="77777777" w:rsidR="003455D7" w:rsidRPr="00205DB0" w:rsidRDefault="003455D7" w:rsidP="003455D7">
            <w:pPr>
              <w:rPr>
                <w:bCs/>
                <w:sz w:val="20"/>
              </w:rPr>
            </w:pPr>
          </w:p>
          <w:p w14:paraId="45BD3472" w14:textId="77777777" w:rsidR="000C6A39" w:rsidRPr="00205DB0" w:rsidRDefault="000C6A39" w:rsidP="004765D2">
            <w:pPr>
              <w:pStyle w:val="ListParagraph"/>
              <w:numPr>
                <w:ilvl w:val="0"/>
                <w:numId w:val="21"/>
              </w:numPr>
              <w:rPr>
                <w:bCs/>
                <w:sz w:val="20"/>
              </w:rPr>
            </w:pPr>
            <w:r w:rsidRPr="00205DB0">
              <w:rPr>
                <w:bCs/>
                <w:sz w:val="20"/>
              </w:rPr>
              <w:t>People in Need organization (PIN) have provided capacity development support to KAMPC board members through conducting several trainings/workshops with main focuses on participatory approaches, project management and proposal writing.</w:t>
            </w:r>
          </w:p>
          <w:p w14:paraId="0691E624" w14:textId="77777777" w:rsidR="000C6A39" w:rsidRPr="00205DB0" w:rsidRDefault="000C6A39" w:rsidP="000C6A39">
            <w:pPr>
              <w:pStyle w:val="ListParagraph"/>
              <w:rPr>
                <w:bCs/>
                <w:sz w:val="20"/>
              </w:rPr>
            </w:pPr>
          </w:p>
          <w:p w14:paraId="1719A45C" w14:textId="7A2FCA5C" w:rsidR="00474206" w:rsidRPr="00205DB0" w:rsidRDefault="000C6A39" w:rsidP="00B03440">
            <w:pPr>
              <w:pStyle w:val="ListParagraph"/>
              <w:numPr>
                <w:ilvl w:val="0"/>
                <w:numId w:val="21"/>
              </w:numPr>
              <w:rPr>
                <w:bCs/>
                <w:sz w:val="20"/>
              </w:rPr>
            </w:pPr>
            <w:r w:rsidRPr="00205DB0">
              <w:rPr>
                <w:bCs/>
                <w:sz w:val="20"/>
              </w:rPr>
              <w:t>KAMPC has developed their strategy plan of 2014, through community consultation techniques (used questioner method and distributed among 280 individuals), which part of it will be conducted in the temporary venue (current KAMPC office) and the rest will be continue in the Multi-Purpose Hall after</w:t>
            </w:r>
            <w:r w:rsidR="009A2FAE" w:rsidRPr="00205DB0">
              <w:rPr>
                <w:bCs/>
                <w:sz w:val="20"/>
              </w:rPr>
              <w:t xml:space="preserve"> completion of the building construction</w:t>
            </w:r>
            <w:r w:rsidRPr="00205DB0">
              <w:rPr>
                <w:bCs/>
                <w:sz w:val="20"/>
              </w:rPr>
              <w:t>.</w:t>
            </w:r>
          </w:p>
          <w:p w14:paraId="4DC316F7" w14:textId="77777777" w:rsidR="00474206" w:rsidRPr="00205DB0" w:rsidRDefault="00474206" w:rsidP="004765D2">
            <w:pPr>
              <w:pStyle w:val="ListParagraph"/>
              <w:widowControl/>
              <w:numPr>
                <w:ilvl w:val="0"/>
                <w:numId w:val="21"/>
              </w:numPr>
              <w:snapToGrid/>
              <w:jc w:val="both"/>
              <w:rPr>
                <w:bCs/>
                <w:sz w:val="20"/>
              </w:rPr>
            </w:pPr>
            <w:r w:rsidRPr="00205DB0">
              <w:rPr>
                <w:bCs/>
                <w:sz w:val="20"/>
              </w:rPr>
              <w:t>On 21</w:t>
            </w:r>
            <w:r w:rsidRPr="00205DB0">
              <w:rPr>
                <w:bCs/>
                <w:sz w:val="20"/>
                <w:vertAlign w:val="superscript"/>
              </w:rPr>
              <w:t>st</w:t>
            </w:r>
            <w:r w:rsidRPr="00205DB0">
              <w:rPr>
                <w:bCs/>
                <w:sz w:val="20"/>
              </w:rPr>
              <w:t xml:space="preserve"> of September KAMPC signed a new agreement with UNDP to implement new project in KA (Promotion of Social Cohesion with local and displaced populations in </w:t>
            </w:r>
            <w:proofErr w:type="spellStart"/>
            <w:r w:rsidRPr="00205DB0">
              <w:rPr>
                <w:bCs/>
                <w:sz w:val="20"/>
              </w:rPr>
              <w:t>Kurani</w:t>
            </w:r>
            <w:proofErr w:type="spellEnd"/>
            <w:r w:rsidRPr="00205DB0">
              <w:rPr>
                <w:bCs/>
                <w:sz w:val="20"/>
              </w:rPr>
              <w:t xml:space="preserve"> </w:t>
            </w:r>
            <w:proofErr w:type="spellStart"/>
            <w:r w:rsidRPr="00205DB0">
              <w:rPr>
                <w:bCs/>
                <w:sz w:val="20"/>
              </w:rPr>
              <w:t>Ainkawa</w:t>
            </w:r>
            <w:proofErr w:type="spellEnd"/>
            <w:r w:rsidRPr="00205DB0">
              <w:rPr>
                <w:bCs/>
                <w:sz w:val="20"/>
              </w:rPr>
              <w:t xml:space="preserve">) targeting </w:t>
            </w:r>
            <w:proofErr w:type="spellStart"/>
            <w:r w:rsidRPr="00205DB0">
              <w:rPr>
                <w:bCs/>
                <w:sz w:val="20"/>
              </w:rPr>
              <w:t>IDPs</w:t>
            </w:r>
            <w:proofErr w:type="spellEnd"/>
            <w:r w:rsidRPr="00205DB0">
              <w:rPr>
                <w:bCs/>
                <w:sz w:val="20"/>
              </w:rPr>
              <w:t xml:space="preserve"> and Syrian refuges in addition to the KA community in joint activities and events to strengthen the social cohesion. </w:t>
            </w:r>
          </w:p>
          <w:p w14:paraId="5054EEC0" w14:textId="77777777" w:rsidR="004765D2" w:rsidRPr="00205DB0" w:rsidRDefault="004765D2" w:rsidP="004765D2">
            <w:pPr>
              <w:pStyle w:val="ListParagraph"/>
              <w:widowControl/>
              <w:numPr>
                <w:ilvl w:val="0"/>
                <w:numId w:val="21"/>
              </w:numPr>
              <w:snapToGrid/>
              <w:jc w:val="both"/>
              <w:rPr>
                <w:bCs/>
                <w:sz w:val="20"/>
              </w:rPr>
            </w:pPr>
            <w:r w:rsidRPr="00205DB0">
              <w:rPr>
                <w:bCs/>
                <w:sz w:val="20"/>
              </w:rPr>
              <w:t xml:space="preserve">UNDP agreed with SHADO organization that the rat-trap technic training to be resume during January 2015, under the supervision of both UNDP and UN-HABITAT for </w:t>
            </w:r>
            <w:proofErr w:type="spellStart"/>
            <w:r w:rsidRPr="00205DB0">
              <w:rPr>
                <w:bCs/>
                <w:sz w:val="20"/>
              </w:rPr>
              <w:t>labors</w:t>
            </w:r>
            <w:proofErr w:type="spellEnd"/>
            <w:r w:rsidRPr="00205DB0">
              <w:rPr>
                <w:bCs/>
                <w:sz w:val="20"/>
              </w:rPr>
              <w:t xml:space="preserve"> in KA and Dalo</w:t>
            </w:r>
            <w:r w:rsidRPr="00205DB0">
              <w:rPr>
                <w:rFonts w:eastAsia="Cambria" w:cs="Calibri"/>
                <w:sz w:val="20"/>
              </w:rPr>
              <w:t xml:space="preserve"> company (the contractor of the MPH building) jointly, to use the rat-trap technic for the masonry work of the MPH building.</w:t>
            </w:r>
          </w:p>
          <w:p w14:paraId="1F868C0F" w14:textId="7BF1ED5C" w:rsidR="00355F48" w:rsidRPr="00205DB0" w:rsidRDefault="00355F48" w:rsidP="004765D2">
            <w:pPr>
              <w:pStyle w:val="ListParagraph"/>
              <w:widowControl/>
              <w:numPr>
                <w:ilvl w:val="0"/>
                <w:numId w:val="21"/>
              </w:numPr>
              <w:snapToGrid/>
              <w:jc w:val="both"/>
              <w:rPr>
                <w:bCs/>
                <w:sz w:val="20"/>
              </w:rPr>
            </w:pPr>
            <w:r w:rsidRPr="00205DB0">
              <w:rPr>
                <w:bCs/>
                <w:sz w:val="20"/>
              </w:rPr>
              <w:t xml:space="preserve">December 2014 KAMPC agreed with </w:t>
            </w:r>
            <w:r w:rsidRPr="00205DB0">
              <w:rPr>
                <w:sz w:val="20"/>
              </w:rPr>
              <w:t xml:space="preserve">Terre des </w:t>
            </w:r>
            <w:proofErr w:type="spellStart"/>
            <w:r w:rsidRPr="00205DB0">
              <w:rPr>
                <w:sz w:val="20"/>
              </w:rPr>
              <w:t>Hommes</w:t>
            </w:r>
            <w:proofErr w:type="spellEnd"/>
            <w:r w:rsidRPr="00205DB0">
              <w:rPr>
                <w:sz w:val="20"/>
              </w:rPr>
              <w:t xml:space="preserve"> </w:t>
            </w:r>
            <w:proofErr w:type="spellStart"/>
            <w:r w:rsidRPr="00205DB0">
              <w:rPr>
                <w:sz w:val="20"/>
              </w:rPr>
              <w:t>TdH</w:t>
            </w:r>
            <w:proofErr w:type="spellEnd"/>
            <w:r w:rsidRPr="00205DB0">
              <w:rPr>
                <w:sz w:val="20"/>
              </w:rPr>
              <w:t xml:space="preserve">, Italian organization to implement a new project in </w:t>
            </w:r>
            <w:r w:rsidR="00EE2307" w:rsidRPr="00205DB0">
              <w:rPr>
                <w:sz w:val="20"/>
              </w:rPr>
              <w:t>KA which is</w:t>
            </w:r>
            <w:r w:rsidRPr="00205DB0">
              <w:rPr>
                <w:sz w:val="20"/>
              </w:rPr>
              <w:t xml:space="preserve"> target</w:t>
            </w:r>
            <w:r w:rsidR="00816BF1" w:rsidRPr="00205DB0">
              <w:rPr>
                <w:sz w:val="20"/>
              </w:rPr>
              <w:t>ing</w:t>
            </w:r>
            <w:r w:rsidRPr="00205DB0">
              <w:rPr>
                <w:sz w:val="20"/>
              </w:rPr>
              <w:t xml:space="preserve"> IDPs, Syrian refugees and KA children.</w:t>
            </w:r>
            <w:r w:rsidR="006904E0" w:rsidRPr="00205DB0">
              <w:rPr>
                <w:sz w:val="20"/>
              </w:rPr>
              <w:t xml:space="preserve"> The project duration is one year.</w:t>
            </w:r>
          </w:p>
          <w:p w14:paraId="00E7A085" w14:textId="77777777" w:rsidR="000C6A39" w:rsidRPr="00205DB0" w:rsidRDefault="000C6A39" w:rsidP="000C6A39">
            <w:pPr>
              <w:rPr>
                <w:bCs/>
                <w:sz w:val="20"/>
              </w:rPr>
            </w:pPr>
          </w:p>
        </w:tc>
      </w:tr>
      <w:tr w:rsidR="008B0F0E" w:rsidRPr="008B0F0E" w14:paraId="683785B0" w14:textId="77777777" w:rsidTr="008D16F9">
        <w:trPr>
          <w:trHeight w:val="1700"/>
        </w:trPr>
        <w:tc>
          <w:tcPr>
            <w:tcW w:w="4511" w:type="dxa"/>
            <w:tcBorders>
              <w:top w:val="single" w:sz="4" w:space="0" w:color="auto"/>
              <w:left w:val="single" w:sz="4" w:space="0" w:color="auto"/>
              <w:bottom w:val="single" w:sz="4" w:space="0" w:color="auto"/>
              <w:right w:val="single" w:sz="4" w:space="0" w:color="auto"/>
            </w:tcBorders>
            <w:hideMark/>
          </w:tcPr>
          <w:p w14:paraId="660AAD5B" w14:textId="77777777" w:rsidR="000C6A39" w:rsidRPr="008B0F0E" w:rsidRDefault="000C6A39" w:rsidP="000C6A39">
            <w:pPr>
              <w:autoSpaceDE w:val="0"/>
              <w:adjustRightInd w:val="0"/>
              <w:ind w:left="450" w:hanging="450"/>
              <w:jc w:val="both"/>
              <w:rPr>
                <w:rFonts w:ascii="Arial" w:hAnsi="Arial" w:cs="Arial"/>
                <w:szCs w:val="22"/>
              </w:rPr>
            </w:pPr>
            <w:r w:rsidRPr="008B0F0E">
              <w:rPr>
                <w:rFonts w:ascii="Arial" w:hAnsi="Arial" w:cs="Arial"/>
                <w:szCs w:val="22"/>
              </w:rPr>
              <w:lastRenderedPageBreak/>
              <w:t>2.4: Organize the management structure to</w:t>
            </w:r>
            <w:r w:rsidR="0097471D" w:rsidRPr="008B0F0E">
              <w:rPr>
                <w:rFonts w:ascii="Arial" w:hAnsi="Arial" w:cs="Arial"/>
                <w:szCs w:val="22"/>
              </w:rPr>
              <w:t xml:space="preserve"> operate the Multi-purpose Hall</w:t>
            </w:r>
          </w:p>
        </w:tc>
        <w:tc>
          <w:tcPr>
            <w:tcW w:w="1446" w:type="dxa"/>
            <w:gridSpan w:val="2"/>
            <w:tcBorders>
              <w:top w:val="single" w:sz="4" w:space="0" w:color="auto"/>
              <w:left w:val="single" w:sz="4" w:space="0" w:color="auto"/>
              <w:bottom w:val="single" w:sz="4" w:space="0" w:color="auto"/>
              <w:right w:val="single" w:sz="4" w:space="0" w:color="auto"/>
            </w:tcBorders>
            <w:hideMark/>
          </w:tcPr>
          <w:p w14:paraId="42A966AF" w14:textId="6E330E01" w:rsidR="000C6A39" w:rsidRPr="008B0F0E" w:rsidRDefault="00B03440" w:rsidP="000C6A39">
            <w:pPr>
              <w:ind w:left="57"/>
              <w:rPr>
                <w:bCs/>
                <w:sz w:val="20"/>
              </w:rPr>
            </w:pPr>
            <w:r>
              <w:rPr>
                <w:bCs/>
                <w:sz w:val="20"/>
              </w:rPr>
              <w:t>80</w:t>
            </w:r>
            <w:r w:rsidR="000C6A39" w:rsidRPr="008B0F0E">
              <w:rPr>
                <w:bCs/>
                <w:sz w:val="20"/>
              </w:rPr>
              <w:t>%</w:t>
            </w:r>
          </w:p>
        </w:tc>
        <w:tc>
          <w:tcPr>
            <w:tcW w:w="4675" w:type="dxa"/>
            <w:tcBorders>
              <w:top w:val="single" w:sz="4" w:space="0" w:color="auto"/>
              <w:left w:val="single" w:sz="4" w:space="0" w:color="auto"/>
              <w:bottom w:val="single" w:sz="4" w:space="0" w:color="auto"/>
              <w:right w:val="single" w:sz="4" w:space="0" w:color="auto"/>
            </w:tcBorders>
          </w:tcPr>
          <w:p w14:paraId="77D50D41" w14:textId="77777777" w:rsidR="000C6A39" w:rsidRPr="00205DB0" w:rsidRDefault="000C6A39" w:rsidP="000C6A39">
            <w:pPr>
              <w:rPr>
                <w:bCs/>
                <w:sz w:val="20"/>
              </w:rPr>
            </w:pPr>
            <w:r w:rsidRPr="00205DB0">
              <w:rPr>
                <w:bCs/>
                <w:sz w:val="20"/>
              </w:rPr>
              <w:t xml:space="preserve">The community-based organization, </w:t>
            </w:r>
            <w:proofErr w:type="gramStart"/>
            <w:r w:rsidRPr="00205DB0">
              <w:rPr>
                <w:bCs/>
                <w:sz w:val="20"/>
              </w:rPr>
              <w:t>named  “</w:t>
            </w:r>
            <w:proofErr w:type="spellStart"/>
            <w:proofErr w:type="gramEnd"/>
            <w:r w:rsidRPr="00205DB0">
              <w:rPr>
                <w:bCs/>
                <w:sz w:val="20"/>
              </w:rPr>
              <w:t>Kurani</w:t>
            </w:r>
            <w:proofErr w:type="spellEnd"/>
            <w:r w:rsidRPr="00205DB0">
              <w:rPr>
                <w:bCs/>
                <w:sz w:val="20"/>
              </w:rPr>
              <w:t xml:space="preserve"> </w:t>
            </w:r>
            <w:proofErr w:type="spellStart"/>
            <w:r w:rsidRPr="00205DB0">
              <w:rPr>
                <w:bCs/>
                <w:sz w:val="20"/>
              </w:rPr>
              <w:t>Ainkawa</w:t>
            </w:r>
            <w:proofErr w:type="spellEnd"/>
            <w:r w:rsidRPr="00205DB0">
              <w:rPr>
                <w:bCs/>
                <w:sz w:val="20"/>
              </w:rPr>
              <w:t xml:space="preserve"> </w:t>
            </w:r>
            <w:r w:rsidR="006D0E15" w:rsidRPr="00205DB0">
              <w:rPr>
                <w:bCs/>
                <w:sz w:val="20"/>
              </w:rPr>
              <w:t>Multi-Purpose</w:t>
            </w:r>
            <w:r w:rsidRPr="00205DB0">
              <w:rPr>
                <w:bCs/>
                <w:sz w:val="20"/>
              </w:rPr>
              <w:t xml:space="preserve"> Centre (KAMPC)” was established to manage the Multi-purpose Hall and  registered as a legal entity by the directorate of NGO.</w:t>
            </w:r>
            <w:r w:rsidR="009A2FAE" w:rsidRPr="00205DB0">
              <w:rPr>
                <w:bCs/>
                <w:sz w:val="20"/>
              </w:rPr>
              <w:t xml:space="preserve"> </w:t>
            </w:r>
            <w:proofErr w:type="gramStart"/>
            <w:r w:rsidR="009A2FAE" w:rsidRPr="00205DB0">
              <w:rPr>
                <w:bCs/>
                <w:sz w:val="20"/>
              </w:rPr>
              <w:t>i</w:t>
            </w:r>
            <w:r w:rsidRPr="00205DB0">
              <w:rPr>
                <w:bCs/>
                <w:sz w:val="20"/>
              </w:rPr>
              <w:t>n</w:t>
            </w:r>
            <w:proofErr w:type="gramEnd"/>
            <w:r w:rsidRPr="00205DB0">
              <w:rPr>
                <w:bCs/>
                <w:sz w:val="20"/>
              </w:rPr>
              <w:t xml:space="preserve"> March 2013.</w:t>
            </w:r>
          </w:p>
          <w:p w14:paraId="436A73F8" w14:textId="77777777" w:rsidR="003A112C" w:rsidRPr="00205DB0" w:rsidRDefault="003A112C" w:rsidP="000C6A39">
            <w:pPr>
              <w:rPr>
                <w:bCs/>
                <w:sz w:val="20"/>
              </w:rPr>
            </w:pPr>
          </w:p>
          <w:p w14:paraId="65EFC696" w14:textId="77777777" w:rsidR="000C6A39" w:rsidRPr="00205DB0" w:rsidRDefault="000C6A39" w:rsidP="000C6A39">
            <w:pPr>
              <w:rPr>
                <w:bCs/>
                <w:sz w:val="20"/>
              </w:rPr>
            </w:pPr>
            <w:r w:rsidRPr="00205DB0">
              <w:rPr>
                <w:bCs/>
                <w:sz w:val="20"/>
              </w:rPr>
              <w:t>The first election for the boarded members was held in Oct 2013 and KAMPC members elected 6 board members in addition to tow reserves.</w:t>
            </w:r>
          </w:p>
          <w:p w14:paraId="3AA24BFF" w14:textId="77777777" w:rsidR="000C6A39" w:rsidRPr="00205DB0" w:rsidRDefault="000C6A39" w:rsidP="000C6A39">
            <w:pPr>
              <w:rPr>
                <w:bCs/>
                <w:sz w:val="20"/>
              </w:rPr>
            </w:pPr>
          </w:p>
          <w:p w14:paraId="7F4A57DD" w14:textId="77777777" w:rsidR="000C6A39" w:rsidRPr="00205DB0" w:rsidRDefault="000C6A39" w:rsidP="000C6A39">
            <w:pPr>
              <w:rPr>
                <w:bCs/>
                <w:sz w:val="20"/>
              </w:rPr>
            </w:pPr>
            <w:r w:rsidRPr="00205DB0">
              <w:rPr>
                <w:bCs/>
                <w:sz w:val="20"/>
              </w:rPr>
              <w:t>The functional capacity of KAMPC has been strengthened through support from UNDP and the KRG Ministry of Culture and Youth, as summarized below:</w:t>
            </w:r>
          </w:p>
          <w:p w14:paraId="6219BE82" w14:textId="77777777" w:rsidR="000C6A39" w:rsidRPr="00205DB0" w:rsidRDefault="000C6A39" w:rsidP="000C6A39">
            <w:pPr>
              <w:rPr>
                <w:bCs/>
                <w:sz w:val="20"/>
              </w:rPr>
            </w:pPr>
          </w:p>
          <w:p w14:paraId="10AE5992" w14:textId="77777777" w:rsidR="000C6A39" w:rsidRPr="00205DB0" w:rsidRDefault="000C6A39" w:rsidP="000C6A39">
            <w:pPr>
              <w:pStyle w:val="ListParagraph"/>
              <w:numPr>
                <w:ilvl w:val="0"/>
                <w:numId w:val="21"/>
              </w:numPr>
              <w:ind w:left="343"/>
              <w:rPr>
                <w:bCs/>
                <w:sz w:val="20"/>
              </w:rPr>
            </w:pPr>
            <w:r w:rsidRPr="00205DB0">
              <w:rPr>
                <w:bCs/>
                <w:sz w:val="20"/>
              </w:rPr>
              <w:t xml:space="preserve">UNDP consultant conduct monthly capacity development trainings for the board members for issues related to (Management, Communication, Need Assessment Surveys and Advocacy) </w:t>
            </w:r>
          </w:p>
          <w:p w14:paraId="0BAEEF70" w14:textId="77777777" w:rsidR="000C6A39" w:rsidRPr="00205DB0" w:rsidRDefault="000C6A39" w:rsidP="000C6A39">
            <w:pPr>
              <w:ind w:left="343"/>
              <w:rPr>
                <w:bCs/>
                <w:sz w:val="20"/>
              </w:rPr>
            </w:pPr>
          </w:p>
          <w:p w14:paraId="508F1A3D" w14:textId="285DA182" w:rsidR="000E0D61" w:rsidRPr="00205DB0" w:rsidRDefault="000C6A39" w:rsidP="00685820">
            <w:pPr>
              <w:pStyle w:val="ListParagraph"/>
              <w:numPr>
                <w:ilvl w:val="0"/>
                <w:numId w:val="21"/>
              </w:numPr>
              <w:ind w:left="343"/>
              <w:rPr>
                <w:bCs/>
                <w:sz w:val="20"/>
              </w:rPr>
            </w:pPr>
            <w:r w:rsidRPr="00205DB0">
              <w:rPr>
                <w:bCs/>
                <w:sz w:val="20"/>
              </w:rPr>
              <w:t>KAMPC built a strong networking w</w:t>
            </w:r>
            <w:r w:rsidR="00030734" w:rsidRPr="00205DB0">
              <w:rPr>
                <w:bCs/>
                <w:sz w:val="20"/>
              </w:rPr>
              <w:t>ith local and International NGO</w:t>
            </w:r>
            <w:r w:rsidRPr="00205DB0">
              <w:rPr>
                <w:bCs/>
                <w:sz w:val="20"/>
              </w:rPr>
              <w:t>s in addition to UN agencie</w:t>
            </w:r>
            <w:r w:rsidR="00030734" w:rsidRPr="00205DB0">
              <w:rPr>
                <w:bCs/>
                <w:sz w:val="20"/>
              </w:rPr>
              <w:t>s in Erbil through UNDP</w:t>
            </w:r>
            <w:r w:rsidR="009A2FAE" w:rsidRPr="00205DB0">
              <w:rPr>
                <w:bCs/>
                <w:sz w:val="20"/>
              </w:rPr>
              <w:t>’s</w:t>
            </w:r>
            <w:r w:rsidR="00030734" w:rsidRPr="00205DB0">
              <w:rPr>
                <w:bCs/>
                <w:sz w:val="20"/>
              </w:rPr>
              <w:t xml:space="preserve"> support. T</w:t>
            </w:r>
            <w:r w:rsidRPr="00205DB0">
              <w:rPr>
                <w:bCs/>
                <w:sz w:val="20"/>
              </w:rPr>
              <w:t>he</w:t>
            </w:r>
            <w:r w:rsidR="00030734" w:rsidRPr="00205DB0">
              <w:rPr>
                <w:bCs/>
                <w:sz w:val="20"/>
              </w:rPr>
              <w:t xml:space="preserve">y are invited to </w:t>
            </w:r>
            <w:r w:rsidR="009A2FAE" w:rsidRPr="00205DB0">
              <w:rPr>
                <w:bCs/>
                <w:sz w:val="20"/>
              </w:rPr>
              <w:t xml:space="preserve">and </w:t>
            </w:r>
            <w:r w:rsidR="00030734" w:rsidRPr="00205DB0">
              <w:rPr>
                <w:bCs/>
                <w:sz w:val="20"/>
              </w:rPr>
              <w:t>participated</w:t>
            </w:r>
            <w:r w:rsidRPr="00205DB0">
              <w:rPr>
                <w:bCs/>
                <w:sz w:val="20"/>
              </w:rPr>
              <w:t xml:space="preserve"> in many events.</w:t>
            </w:r>
          </w:p>
          <w:p w14:paraId="67AF7101" w14:textId="423D7AEC" w:rsidR="000E0D61" w:rsidRPr="00205DB0" w:rsidRDefault="000E0D61" w:rsidP="000C6A39">
            <w:pPr>
              <w:pStyle w:val="ListParagraph"/>
              <w:numPr>
                <w:ilvl w:val="0"/>
                <w:numId w:val="21"/>
              </w:numPr>
              <w:ind w:left="343"/>
              <w:rPr>
                <w:bCs/>
                <w:sz w:val="20"/>
              </w:rPr>
            </w:pPr>
            <w:r w:rsidRPr="00205DB0">
              <w:rPr>
                <w:bCs/>
                <w:sz w:val="20"/>
              </w:rPr>
              <w:t xml:space="preserve">UNDP in coordination with UNV conducted </w:t>
            </w:r>
            <w:r w:rsidRPr="00205DB0">
              <w:rPr>
                <w:bCs/>
                <w:sz w:val="20"/>
              </w:rPr>
              <w:lastRenderedPageBreak/>
              <w:t>several trainings and workshop</w:t>
            </w:r>
            <w:r w:rsidR="00B03440" w:rsidRPr="00205DB0">
              <w:rPr>
                <w:bCs/>
                <w:sz w:val="20"/>
              </w:rPr>
              <w:t>s</w:t>
            </w:r>
            <w:r w:rsidRPr="00205DB0">
              <w:rPr>
                <w:bCs/>
                <w:sz w:val="20"/>
              </w:rPr>
              <w:t xml:space="preserve"> for KAMPC members and staff on community dialogue and facilitation skills</w:t>
            </w:r>
            <w:r w:rsidR="00FC6294" w:rsidRPr="00205DB0">
              <w:rPr>
                <w:bCs/>
                <w:sz w:val="20"/>
              </w:rPr>
              <w:t xml:space="preserve"> topics</w:t>
            </w:r>
            <w:r w:rsidRPr="00205DB0">
              <w:rPr>
                <w:bCs/>
                <w:sz w:val="20"/>
              </w:rPr>
              <w:t>.</w:t>
            </w:r>
            <w:r w:rsidR="00B03440" w:rsidRPr="00205DB0">
              <w:rPr>
                <w:bCs/>
                <w:sz w:val="20"/>
              </w:rPr>
              <w:t xml:space="preserve"> This is according to the urgent needs for developing the social cohesion </w:t>
            </w:r>
            <w:r w:rsidR="00477EBE" w:rsidRPr="00205DB0">
              <w:rPr>
                <w:bCs/>
                <w:sz w:val="20"/>
              </w:rPr>
              <w:t xml:space="preserve">condition </w:t>
            </w:r>
            <w:r w:rsidR="00B03440" w:rsidRPr="00205DB0">
              <w:rPr>
                <w:bCs/>
                <w:sz w:val="20"/>
              </w:rPr>
              <w:t>among KA, IDPs and Syrian refugees</w:t>
            </w:r>
            <w:r w:rsidR="00477EBE" w:rsidRPr="00205DB0">
              <w:rPr>
                <w:bCs/>
                <w:sz w:val="20"/>
              </w:rPr>
              <w:t xml:space="preserve"> families</w:t>
            </w:r>
            <w:r w:rsidR="00B03440" w:rsidRPr="00205DB0">
              <w:rPr>
                <w:bCs/>
                <w:sz w:val="20"/>
              </w:rPr>
              <w:t>.</w:t>
            </w:r>
          </w:p>
          <w:p w14:paraId="79C706E0" w14:textId="77777777" w:rsidR="000C6A39" w:rsidRPr="00205DB0" w:rsidRDefault="000C6A39" w:rsidP="000C6A39">
            <w:pPr>
              <w:ind w:left="343"/>
              <w:rPr>
                <w:bCs/>
                <w:sz w:val="20"/>
              </w:rPr>
            </w:pPr>
          </w:p>
          <w:p w14:paraId="635FAB32" w14:textId="77777777" w:rsidR="000C6A39" w:rsidRPr="00205DB0" w:rsidRDefault="000C6A39" w:rsidP="00B03440">
            <w:pPr>
              <w:rPr>
                <w:bCs/>
                <w:sz w:val="20"/>
              </w:rPr>
            </w:pPr>
          </w:p>
        </w:tc>
      </w:tr>
      <w:tr w:rsidR="008B0F0E" w:rsidRPr="008B0F0E" w14:paraId="58E4CC3A" w14:textId="77777777" w:rsidTr="00432057">
        <w:trPr>
          <w:trHeight w:val="360"/>
        </w:trPr>
        <w:tc>
          <w:tcPr>
            <w:tcW w:w="10632" w:type="dxa"/>
            <w:gridSpan w:val="4"/>
            <w:tcBorders>
              <w:top w:val="single" w:sz="4" w:space="0" w:color="auto"/>
              <w:left w:val="single" w:sz="4" w:space="0" w:color="auto"/>
              <w:bottom w:val="single" w:sz="4" w:space="0" w:color="auto"/>
              <w:right w:val="single" w:sz="4" w:space="0" w:color="auto"/>
            </w:tcBorders>
            <w:shd w:val="clear" w:color="auto" w:fill="FFFFCC"/>
          </w:tcPr>
          <w:p w14:paraId="351099B0" w14:textId="77777777" w:rsidR="006D0E15" w:rsidRPr="008B0F0E" w:rsidRDefault="006D0E15" w:rsidP="000C6A39">
            <w:pPr>
              <w:rPr>
                <w:bCs/>
                <w:sz w:val="20"/>
              </w:rPr>
            </w:pPr>
            <w:r w:rsidRPr="008B0F0E">
              <w:rPr>
                <w:rFonts w:ascii="Arial" w:hAnsi="Arial" w:cs="Arial"/>
                <w:b/>
                <w:bCs/>
                <w:szCs w:val="22"/>
              </w:rPr>
              <w:lastRenderedPageBreak/>
              <w:t>Output 3:</w:t>
            </w:r>
            <w:r w:rsidRPr="008B0F0E">
              <w:rPr>
                <w:rFonts w:ascii="Arial" w:hAnsi="Arial" w:cs="Arial"/>
                <w:szCs w:val="22"/>
              </w:rPr>
              <w:t xml:space="preserve"> Communication material on this project developed and distributed</w:t>
            </w:r>
          </w:p>
        </w:tc>
      </w:tr>
      <w:tr w:rsidR="008B0F0E" w:rsidRPr="008B0F0E" w14:paraId="4556959E" w14:textId="77777777" w:rsidTr="00432057">
        <w:trPr>
          <w:trHeight w:val="431"/>
        </w:trPr>
        <w:tc>
          <w:tcPr>
            <w:tcW w:w="4511" w:type="dxa"/>
            <w:tcBorders>
              <w:top w:val="single" w:sz="4" w:space="0" w:color="auto"/>
              <w:left w:val="single" w:sz="4" w:space="0" w:color="auto"/>
              <w:bottom w:val="single" w:sz="4" w:space="0" w:color="auto"/>
              <w:right w:val="single" w:sz="4" w:space="0" w:color="auto"/>
            </w:tcBorders>
            <w:shd w:val="clear" w:color="auto" w:fill="FFFFCC"/>
          </w:tcPr>
          <w:p w14:paraId="5C7BBE5C" w14:textId="77777777" w:rsidR="006D0E15" w:rsidRPr="008B0F0E" w:rsidRDefault="006D0E15" w:rsidP="000C6A39">
            <w:pPr>
              <w:autoSpaceDE w:val="0"/>
              <w:adjustRightInd w:val="0"/>
              <w:ind w:left="450" w:hanging="450"/>
              <w:jc w:val="both"/>
              <w:rPr>
                <w:rFonts w:ascii="Arial" w:hAnsi="Arial" w:cs="Arial"/>
                <w:b/>
                <w:bCs/>
                <w:szCs w:val="22"/>
              </w:rPr>
            </w:pPr>
            <w:r w:rsidRPr="008B0F0E">
              <w:rPr>
                <w:b/>
                <w:bCs/>
              </w:rPr>
              <w:t>Activities</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CC"/>
          </w:tcPr>
          <w:p w14:paraId="1242C1D7" w14:textId="77777777" w:rsidR="006D0E15" w:rsidRPr="008B0F0E" w:rsidRDefault="006D0E15" w:rsidP="000C6A39">
            <w:pPr>
              <w:ind w:left="57"/>
              <w:rPr>
                <w:b/>
                <w:bCs/>
                <w:sz w:val="20"/>
              </w:rPr>
            </w:pPr>
            <w:r w:rsidRPr="008B0F0E">
              <w:rPr>
                <w:b/>
                <w:bCs/>
              </w:rPr>
              <w:t>Level of achievement</w:t>
            </w:r>
          </w:p>
        </w:tc>
        <w:tc>
          <w:tcPr>
            <w:tcW w:w="4675" w:type="dxa"/>
            <w:tcBorders>
              <w:top w:val="single" w:sz="4" w:space="0" w:color="auto"/>
              <w:left w:val="single" w:sz="4" w:space="0" w:color="auto"/>
              <w:bottom w:val="single" w:sz="4" w:space="0" w:color="auto"/>
              <w:right w:val="single" w:sz="4" w:space="0" w:color="auto"/>
            </w:tcBorders>
            <w:shd w:val="clear" w:color="auto" w:fill="FFFFCC"/>
          </w:tcPr>
          <w:p w14:paraId="26131698" w14:textId="77777777" w:rsidR="006D0E15" w:rsidRPr="008B0F0E" w:rsidRDefault="006D0E15" w:rsidP="000C6A39">
            <w:pPr>
              <w:rPr>
                <w:b/>
                <w:bCs/>
                <w:sz w:val="20"/>
              </w:rPr>
            </w:pPr>
            <w:r w:rsidRPr="008B0F0E">
              <w:rPr>
                <w:b/>
                <w:bCs/>
              </w:rPr>
              <w:t>Remarks</w:t>
            </w:r>
          </w:p>
        </w:tc>
      </w:tr>
      <w:tr w:rsidR="008B0F0E" w:rsidRPr="008B0F0E" w14:paraId="2441329A" w14:textId="77777777" w:rsidTr="001F3CE9">
        <w:trPr>
          <w:trHeight w:val="360"/>
        </w:trPr>
        <w:tc>
          <w:tcPr>
            <w:tcW w:w="4511" w:type="dxa"/>
            <w:tcBorders>
              <w:top w:val="single" w:sz="4" w:space="0" w:color="auto"/>
              <w:left w:val="single" w:sz="4" w:space="0" w:color="auto"/>
              <w:bottom w:val="single" w:sz="4" w:space="0" w:color="auto"/>
              <w:right w:val="single" w:sz="4" w:space="0" w:color="auto"/>
            </w:tcBorders>
          </w:tcPr>
          <w:p w14:paraId="25B6A46B" w14:textId="77777777" w:rsidR="00432057" w:rsidRPr="008B0F0E" w:rsidRDefault="00432057" w:rsidP="000C6A39">
            <w:pPr>
              <w:autoSpaceDE w:val="0"/>
              <w:adjustRightInd w:val="0"/>
              <w:ind w:left="450" w:hanging="450"/>
              <w:jc w:val="both"/>
              <w:rPr>
                <w:rFonts w:ascii="Arial" w:hAnsi="Arial" w:cs="Arial"/>
                <w:szCs w:val="22"/>
              </w:rPr>
            </w:pPr>
            <w:r w:rsidRPr="008B0F0E">
              <w:t>Activity 3.1 Prepare a brochure on the project (Kurdish)</w:t>
            </w:r>
          </w:p>
        </w:tc>
        <w:tc>
          <w:tcPr>
            <w:tcW w:w="1446" w:type="dxa"/>
            <w:gridSpan w:val="2"/>
            <w:tcBorders>
              <w:top w:val="single" w:sz="4" w:space="0" w:color="auto"/>
              <w:left w:val="single" w:sz="4" w:space="0" w:color="auto"/>
              <w:bottom w:val="single" w:sz="4" w:space="0" w:color="auto"/>
              <w:right w:val="single" w:sz="4" w:space="0" w:color="auto"/>
            </w:tcBorders>
          </w:tcPr>
          <w:p w14:paraId="6ACE646D" w14:textId="77777777" w:rsidR="00432057" w:rsidRPr="008B0F0E" w:rsidRDefault="0006620D" w:rsidP="000C6A39">
            <w:pPr>
              <w:ind w:left="57"/>
              <w:rPr>
                <w:bCs/>
                <w:sz w:val="20"/>
              </w:rPr>
            </w:pPr>
            <w:r>
              <w:rPr>
                <w:bCs/>
                <w:sz w:val="20"/>
              </w:rPr>
              <w:t>100</w:t>
            </w:r>
            <w:r w:rsidR="00432057" w:rsidRPr="008B0F0E">
              <w:rPr>
                <w:bCs/>
                <w:sz w:val="20"/>
              </w:rPr>
              <w:t>%</w:t>
            </w:r>
          </w:p>
        </w:tc>
        <w:tc>
          <w:tcPr>
            <w:tcW w:w="4675" w:type="dxa"/>
            <w:tcBorders>
              <w:top w:val="single" w:sz="4" w:space="0" w:color="auto"/>
              <w:left w:val="single" w:sz="4" w:space="0" w:color="auto"/>
              <w:bottom w:val="single" w:sz="4" w:space="0" w:color="auto"/>
              <w:right w:val="single" w:sz="4" w:space="0" w:color="auto"/>
            </w:tcBorders>
          </w:tcPr>
          <w:p w14:paraId="0AEF9559" w14:textId="77777777" w:rsidR="00432057" w:rsidRPr="008B0F0E" w:rsidRDefault="00432057" w:rsidP="0006620D">
            <w:pPr>
              <w:rPr>
                <w:bCs/>
                <w:sz w:val="20"/>
              </w:rPr>
            </w:pPr>
          </w:p>
        </w:tc>
      </w:tr>
      <w:tr w:rsidR="008B0F0E" w:rsidRPr="008B0F0E" w14:paraId="4C7BE8F1" w14:textId="77777777" w:rsidTr="001F3CE9">
        <w:trPr>
          <w:trHeight w:val="360"/>
        </w:trPr>
        <w:tc>
          <w:tcPr>
            <w:tcW w:w="4511" w:type="dxa"/>
            <w:tcBorders>
              <w:top w:val="single" w:sz="4" w:space="0" w:color="auto"/>
              <w:left w:val="single" w:sz="4" w:space="0" w:color="auto"/>
              <w:bottom w:val="single" w:sz="4" w:space="0" w:color="auto"/>
              <w:right w:val="single" w:sz="4" w:space="0" w:color="auto"/>
            </w:tcBorders>
          </w:tcPr>
          <w:p w14:paraId="743F0B6B" w14:textId="77777777" w:rsidR="00432057" w:rsidRPr="008B0F0E" w:rsidRDefault="00432057" w:rsidP="000C6A39">
            <w:pPr>
              <w:autoSpaceDE w:val="0"/>
              <w:adjustRightInd w:val="0"/>
              <w:ind w:left="450" w:hanging="450"/>
              <w:jc w:val="both"/>
              <w:rPr>
                <w:rFonts w:ascii="Arial" w:hAnsi="Arial" w:cs="Arial"/>
                <w:szCs w:val="22"/>
              </w:rPr>
            </w:pPr>
            <w:r w:rsidRPr="008B0F0E">
              <w:t>Activity 3.2 Prepare a billboard on the site (Kurdish)</w:t>
            </w:r>
          </w:p>
        </w:tc>
        <w:tc>
          <w:tcPr>
            <w:tcW w:w="1446" w:type="dxa"/>
            <w:gridSpan w:val="2"/>
            <w:tcBorders>
              <w:top w:val="single" w:sz="4" w:space="0" w:color="auto"/>
              <w:left w:val="single" w:sz="4" w:space="0" w:color="auto"/>
              <w:bottom w:val="single" w:sz="4" w:space="0" w:color="auto"/>
              <w:right w:val="single" w:sz="4" w:space="0" w:color="auto"/>
            </w:tcBorders>
          </w:tcPr>
          <w:p w14:paraId="31A60108" w14:textId="77777777" w:rsidR="00432057" w:rsidRPr="008B0F0E" w:rsidRDefault="00432057" w:rsidP="000C6A39">
            <w:pPr>
              <w:ind w:left="57"/>
              <w:rPr>
                <w:bCs/>
                <w:sz w:val="20"/>
              </w:rPr>
            </w:pPr>
            <w:r w:rsidRPr="008B0F0E">
              <w:rPr>
                <w:bCs/>
                <w:sz w:val="20"/>
              </w:rPr>
              <w:t>0</w:t>
            </w:r>
          </w:p>
        </w:tc>
        <w:tc>
          <w:tcPr>
            <w:tcW w:w="4675" w:type="dxa"/>
            <w:tcBorders>
              <w:top w:val="single" w:sz="4" w:space="0" w:color="auto"/>
              <w:left w:val="single" w:sz="4" w:space="0" w:color="auto"/>
              <w:bottom w:val="single" w:sz="4" w:space="0" w:color="auto"/>
              <w:right w:val="single" w:sz="4" w:space="0" w:color="auto"/>
            </w:tcBorders>
          </w:tcPr>
          <w:p w14:paraId="48825ECE" w14:textId="77777777" w:rsidR="00432057" w:rsidRPr="008B0F0E" w:rsidRDefault="0006620D" w:rsidP="000C6A39">
            <w:pPr>
              <w:rPr>
                <w:bCs/>
                <w:sz w:val="20"/>
              </w:rPr>
            </w:pPr>
            <w:r>
              <w:rPr>
                <w:bCs/>
                <w:sz w:val="20"/>
              </w:rPr>
              <w:t>The design is not decided</w:t>
            </w:r>
          </w:p>
        </w:tc>
      </w:tr>
    </w:tbl>
    <w:p w14:paraId="48A432CD" w14:textId="77777777" w:rsidR="00052623" w:rsidRPr="008B0F0E" w:rsidRDefault="00052623"/>
    <w:tbl>
      <w:tblPr>
        <w:tblStyle w:val="TableGrid"/>
        <w:tblpPr w:leftFromText="180" w:rightFromText="180" w:vertAnchor="text" w:horzAnchor="margin" w:tblpXSpec="center" w:tblpY="98"/>
        <w:tblW w:w="10632" w:type="dxa"/>
        <w:tblLook w:val="04A0" w:firstRow="1" w:lastRow="0" w:firstColumn="1" w:lastColumn="0" w:noHBand="0" w:noVBand="1"/>
      </w:tblPr>
      <w:tblGrid>
        <w:gridCol w:w="5316"/>
        <w:gridCol w:w="5316"/>
      </w:tblGrid>
      <w:tr w:rsidR="008B0F0E" w:rsidRPr="008B0F0E" w14:paraId="583FF67D" w14:textId="77777777" w:rsidTr="00142E09">
        <w:tc>
          <w:tcPr>
            <w:tcW w:w="5316" w:type="dxa"/>
            <w:shd w:val="clear" w:color="auto" w:fill="FFFFCC"/>
          </w:tcPr>
          <w:p w14:paraId="5E3DC6BA" w14:textId="77777777" w:rsidR="00202650" w:rsidRPr="008B0F0E" w:rsidRDefault="00202650" w:rsidP="003D0652">
            <w:pPr>
              <w:rPr>
                <w:b/>
                <w:bCs/>
                <w:szCs w:val="22"/>
              </w:rPr>
            </w:pPr>
            <w:r w:rsidRPr="008B0F0E">
              <w:rPr>
                <w:b/>
                <w:bCs/>
                <w:szCs w:val="22"/>
              </w:rPr>
              <w:t xml:space="preserve">Funds </w:t>
            </w:r>
            <w:r w:rsidR="003D0652" w:rsidRPr="008B0F0E">
              <w:rPr>
                <w:b/>
                <w:bCs/>
                <w:szCs w:val="22"/>
              </w:rPr>
              <w:t xml:space="preserve">spent </w:t>
            </w:r>
            <w:r w:rsidRPr="008B0F0E">
              <w:rPr>
                <w:b/>
                <w:bCs/>
                <w:szCs w:val="22"/>
              </w:rPr>
              <w:t>to date</w:t>
            </w:r>
          </w:p>
        </w:tc>
        <w:tc>
          <w:tcPr>
            <w:tcW w:w="5316" w:type="dxa"/>
            <w:shd w:val="clear" w:color="auto" w:fill="FFFFCC"/>
          </w:tcPr>
          <w:p w14:paraId="02FDA8C3" w14:textId="77777777" w:rsidR="00202650" w:rsidRPr="008B0F0E" w:rsidRDefault="00202650" w:rsidP="00202650">
            <w:pPr>
              <w:rPr>
                <w:b/>
                <w:bCs/>
                <w:szCs w:val="22"/>
              </w:rPr>
            </w:pPr>
            <w:r w:rsidRPr="008B0F0E">
              <w:rPr>
                <w:b/>
                <w:bCs/>
                <w:szCs w:val="22"/>
              </w:rPr>
              <w:t>%</w:t>
            </w:r>
            <w:r w:rsidR="003D0652" w:rsidRPr="008B0F0E">
              <w:rPr>
                <w:b/>
                <w:bCs/>
                <w:szCs w:val="22"/>
              </w:rPr>
              <w:t xml:space="preserve"> of total</w:t>
            </w:r>
          </w:p>
        </w:tc>
      </w:tr>
      <w:tr w:rsidR="008B0F0E" w:rsidRPr="008B0F0E" w14:paraId="1426D75D" w14:textId="77777777" w:rsidTr="00202650">
        <w:tc>
          <w:tcPr>
            <w:tcW w:w="5316" w:type="dxa"/>
          </w:tcPr>
          <w:p w14:paraId="28DFF55A" w14:textId="77777777" w:rsidR="00202650" w:rsidRPr="008B0F0E" w:rsidRDefault="00202650" w:rsidP="00202650">
            <w:pPr>
              <w:rPr>
                <w:szCs w:val="22"/>
              </w:rPr>
            </w:pPr>
          </w:p>
        </w:tc>
        <w:tc>
          <w:tcPr>
            <w:tcW w:w="5316" w:type="dxa"/>
          </w:tcPr>
          <w:p w14:paraId="32D4434E" w14:textId="77777777" w:rsidR="00202650" w:rsidRPr="008B0F0E" w:rsidRDefault="00202650" w:rsidP="00202650">
            <w:pPr>
              <w:rPr>
                <w:szCs w:val="22"/>
              </w:rPr>
            </w:pPr>
          </w:p>
        </w:tc>
      </w:tr>
    </w:tbl>
    <w:p w14:paraId="3120BDF6" w14:textId="77777777" w:rsidR="005310C6" w:rsidRPr="008B0F0E" w:rsidRDefault="005310C6" w:rsidP="0017344B">
      <w:pPr>
        <w:rPr>
          <w:szCs w:val="22"/>
        </w:rPr>
      </w:pPr>
    </w:p>
    <w:p w14:paraId="50246287" w14:textId="77777777" w:rsidR="0017344B" w:rsidRPr="008B0F0E" w:rsidRDefault="0017344B" w:rsidP="0017344B">
      <w:pPr>
        <w:rPr>
          <w:szCs w:val="22"/>
        </w:rPr>
      </w:pPr>
    </w:p>
    <w:tbl>
      <w:tblPr>
        <w:tblStyle w:val="TableGrid"/>
        <w:tblpPr w:leftFromText="180" w:rightFromText="180" w:vertAnchor="text" w:horzAnchor="margin" w:tblpXSpec="center" w:tblpY="98"/>
        <w:tblW w:w="10632" w:type="dxa"/>
        <w:tblLook w:val="04A0" w:firstRow="1" w:lastRow="0" w:firstColumn="1" w:lastColumn="0" w:noHBand="0" w:noVBand="1"/>
      </w:tblPr>
      <w:tblGrid>
        <w:gridCol w:w="10632"/>
      </w:tblGrid>
      <w:tr w:rsidR="008B0F0E" w:rsidRPr="008B0F0E" w14:paraId="7FF93AEB" w14:textId="77777777" w:rsidTr="003D0652">
        <w:tc>
          <w:tcPr>
            <w:tcW w:w="10632" w:type="dxa"/>
            <w:shd w:val="clear" w:color="auto" w:fill="FFFFCC"/>
          </w:tcPr>
          <w:p w14:paraId="1EE4BEEB" w14:textId="77777777" w:rsidR="00202650" w:rsidRPr="008B0F0E" w:rsidRDefault="00202650" w:rsidP="00202650">
            <w:pPr>
              <w:rPr>
                <w:b/>
                <w:bCs/>
              </w:rPr>
            </w:pPr>
            <w:r w:rsidRPr="008B0F0E">
              <w:rPr>
                <w:b/>
                <w:bCs/>
              </w:rPr>
              <w:t>Main Implementation challenges and constraints during the reporting period:</w:t>
            </w:r>
          </w:p>
          <w:p w14:paraId="487D0A19" w14:textId="77777777" w:rsidR="00202650" w:rsidRPr="008B0F0E" w:rsidRDefault="00202650" w:rsidP="00202650">
            <w:pPr>
              <w:rPr>
                <w:szCs w:val="22"/>
              </w:rPr>
            </w:pPr>
          </w:p>
        </w:tc>
      </w:tr>
      <w:tr w:rsidR="008B0F0E" w:rsidRPr="008B0F0E" w14:paraId="39B57328" w14:textId="77777777" w:rsidTr="005A67FF">
        <w:trPr>
          <w:trHeight w:val="5156"/>
        </w:trPr>
        <w:tc>
          <w:tcPr>
            <w:tcW w:w="10632" w:type="dxa"/>
          </w:tcPr>
          <w:p w14:paraId="17564169" w14:textId="77777777" w:rsidR="00202650" w:rsidRPr="00A52CD6" w:rsidRDefault="003D0652" w:rsidP="00083E58">
            <w:pPr>
              <w:pStyle w:val="ListParagraph"/>
              <w:numPr>
                <w:ilvl w:val="0"/>
                <w:numId w:val="16"/>
              </w:numPr>
              <w:rPr>
                <w:szCs w:val="22"/>
              </w:rPr>
            </w:pPr>
            <w:r w:rsidRPr="00A52CD6">
              <w:rPr>
                <w:szCs w:val="22"/>
              </w:rPr>
              <w:t xml:space="preserve">Delays were experienced </w:t>
            </w:r>
            <w:r w:rsidR="0006620D" w:rsidRPr="00A52CD6">
              <w:rPr>
                <w:szCs w:val="22"/>
              </w:rPr>
              <w:t xml:space="preserve">due to unavailability of building permission for the assigned plot to build the MPH on. This is due to the fact that the land was inside the old informal area that has no plot number till date, as the new master plan for KA is endorsed yet by Erbil Municipality. </w:t>
            </w:r>
          </w:p>
          <w:p w14:paraId="63180C52" w14:textId="77777777" w:rsidR="007016BF" w:rsidRPr="00A52CD6" w:rsidRDefault="002D3A68" w:rsidP="00083E58">
            <w:pPr>
              <w:pStyle w:val="ListParagraph"/>
              <w:numPr>
                <w:ilvl w:val="0"/>
                <w:numId w:val="16"/>
              </w:numPr>
              <w:rPr>
                <w:szCs w:val="22"/>
              </w:rPr>
            </w:pPr>
            <w:r w:rsidRPr="008B0F0E">
              <w:rPr>
                <w:szCs w:val="22"/>
              </w:rPr>
              <w:t xml:space="preserve">Delays were experienced in determining the </w:t>
            </w:r>
            <w:r w:rsidR="00853C65" w:rsidRPr="008B0F0E">
              <w:rPr>
                <w:szCs w:val="22"/>
              </w:rPr>
              <w:t>borders of the blocks</w:t>
            </w:r>
            <w:r w:rsidR="00A52CD6">
              <w:rPr>
                <w:szCs w:val="22"/>
              </w:rPr>
              <w:t>/plots</w:t>
            </w:r>
            <w:r w:rsidR="00853C65" w:rsidRPr="008B0F0E">
              <w:rPr>
                <w:szCs w:val="22"/>
              </w:rPr>
              <w:t xml:space="preserve"> and street lev</w:t>
            </w:r>
            <w:r w:rsidR="00A52CD6">
              <w:rPr>
                <w:szCs w:val="22"/>
              </w:rPr>
              <w:t>els by the municipality</w:t>
            </w:r>
            <w:r w:rsidR="002A4DD8" w:rsidRPr="008B0F0E">
              <w:rPr>
                <w:szCs w:val="22"/>
              </w:rPr>
              <w:t>.</w:t>
            </w:r>
          </w:p>
          <w:p w14:paraId="2C9D81F4" w14:textId="77777777" w:rsidR="00030734" w:rsidRPr="008B0F0E" w:rsidRDefault="009A2FAE" w:rsidP="00083E58">
            <w:pPr>
              <w:pStyle w:val="ListParagraph"/>
              <w:numPr>
                <w:ilvl w:val="0"/>
                <w:numId w:val="16"/>
              </w:numPr>
            </w:pPr>
            <w:r w:rsidRPr="008B0F0E">
              <w:t>T</w:t>
            </w:r>
            <w:r w:rsidR="00030734" w:rsidRPr="008B0F0E">
              <w:t xml:space="preserve">he </w:t>
            </w:r>
            <w:r w:rsidR="00F25C9B" w:rsidRPr="008B0F0E">
              <w:t xml:space="preserve">additional </w:t>
            </w:r>
            <w:r w:rsidR="00030734" w:rsidRPr="008B0F0E">
              <w:t>fund</w:t>
            </w:r>
            <w:r w:rsidR="00F25C9B" w:rsidRPr="008B0F0E">
              <w:t xml:space="preserve"> requested from MOP </w:t>
            </w:r>
            <w:r w:rsidR="00147C34" w:rsidRPr="008B0F0E">
              <w:t>(</w:t>
            </w:r>
            <w:r w:rsidR="003C4274">
              <w:t xml:space="preserve">October </w:t>
            </w:r>
            <w:r w:rsidR="00147C34" w:rsidRPr="008B0F0E">
              <w:t>2013</w:t>
            </w:r>
            <w:r w:rsidR="003C4274" w:rsidRPr="008B0F0E">
              <w:t xml:space="preserve">) </w:t>
            </w:r>
            <w:r w:rsidR="003C4274">
              <w:t xml:space="preserve">was necessary </w:t>
            </w:r>
            <w:r w:rsidR="00F25C9B" w:rsidRPr="008B0F0E">
              <w:t xml:space="preserve">to complete the construction of the </w:t>
            </w:r>
            <w:r w:rsidR="003C4274" w:rsidRPr="008B0F0E">
              <w:t>MPH which</w:t>
            </w:r>
            <w:r w:rsidR="003C4274">
              <w:t xml:space="preserve"> was </w:t>
            </w:r>
            <w:r w:rsidR="00956CF9" w:rsidRPr="008B0F0E">
              <w:t>released</w:t>
            </w:r>
            <w:r w:rsidR="003C4274">
              <w:t xml:space="preserve"> thankfully recently (November 2014)</w:t>
            </w:r>
            <w:r w:rsidR="00030734" w:rsidRPr="008B0F0E">
              <w:t xml:space="preserve">, which led to a shortage of available fund for UNDP for construction of MPH, which </w:t>
            </w:r>
            <w:r w:rsidR="00956CF9" w:rsidRPr="008B0F0E">
              <w:t xml:space="preserve">delayed the bidding process. </w:t>
            </w:r>
          </w:p>
          <w:p w14:paraId="318F3127" w14:textId="67EE4E08" w:rsidR="003C4274" w:rsidRDefault="003C4274" w:rsidP="00083E58">
            <w:pPr>
              <w:pStyle w:val="ListParagraph"/>
              <w:numPr>
                <w:ilvl w:val="0"/>
                <w:numId w:val="16"/>
              </w:numPr>
            </w:pPr>
            <w:r>
              <w:t xml:space="preserve">The first assigned plot to build the MPH on explored to be a previous damp site. </w:t>
            </w:r>
            <w:r w:rsidR="00205DB0">
              <w:t xml:space="preserve">In consultation and approval with Erbil Governorate, a new plot was identified adjacent to the original location in line with the master plan. </w:t>
            </w:r>
            <w:r>
              <w:t>Delay occurred till changing the plot location and getting exceptional permissions from the Governorate office to start building.</w:t>
            </w:r>
          </w:p>
          <w:p w14:paraId="5D5D71E5" w14:textId="77777777" w:rsidR="003C4274" w:rsidRDefault="003C4274" w:rsidP="00083E58">
            <w:pPr>
              <w:pStyle w:val="ListParagraph"/>
              <w:numPr>
                <w:ilvl w:val="0"/>
                <w:numId w:val="16"/>
              </w:numPr>
            </w:pPr>
            <w:r>
              <w:t>The unavailability of solid clay bricks in the region led to change the design of bearing walls using available hollow bricks instead. This needed new set of drawings and getting new approval from Municipality.</w:t>
            </w:r>
          </w:p>
          <w:p w14:paraId="64E73807" w14:textId="17BA8F66" w:rsidR="00AD0AE7" w:rsidRPr="00083E58" w:rsidRDefault="00985025" w:rsidP="00083E58">
            <w:pPr>
              <w:pStyle w:val="ListParagraph"/>
              <w:numPr>
                <w:ilvl w:val="0"/>
                <w:numId w:val="16"/>
              </w:numPr>
            </w:pPr>
            <w:r>
              <w:t xml:space="preserve">Removing some </w:t>
            </w:r>
            <w:r w:rsidR="00083E58">
              <w:t>obstacles</w:t>
            </w:r>
            <w:r>
              <w:t xml:space="preserve"> from the site by municipal departments needed extra time to remove it, such as two old electricity poles and old sewerage pipes crossed the plot.</w:t>
            </w:r>
            <w:r w:rsidR="00AD0AE7" w:rsidRPr="00985025">
              <w:rPr>
                <w:bCs/>
                <w:color w:val="FF0000"/>
                <w:sz w:val="20"/>
              </w:rPr>
              <w:t xml:space="preserve">  </w:t>
            </w:r>
          </w:p>
          <w:p w14:paraId="79A7C031" w14:textId="77777777" w:rsidR="00083E58" w:rsidRPr="00083E58" w:rsidRDefault="00083E58" w:rsidP="00083E58">
            <w:pPr>
              <w:pStyle w:val="ListParagraph"/>
              <w:numPr>
                <w:ilvl w:val="0"/>
                <w:numId w:val="16"/>
              </w:numPr>
            </w:pPr>
            <w:r w:rsidRPr="00083E58">
              <w:t>The contractor company (Dalo) faced some challenges in regards to the community outreach at the beginning of the construction process. However, this has been managed through resuming the monthly coordination meetings arranged by UNDP with involvement of all the project partners, and the main focus was on KA community participation, represented by KAMPC board members and the community leaders.</w:t>
            </w:r>
          </w:p>
          <w:p w14:paraId="33851648" w14:textId="77777777" w:rsidR="00083E58" w:rsidRPr="00083E58" w:rsidRDefault="00083E58" w:rsidP="00083E58">
            <w:pPr>
              <w:pStyle w:val="ListParagraph"/>
              <w:numPr>
                <w:ilvl w:val="0"/>
                <w:numId w:val="16"/>
              </w:numPr>
            </w:pPr>
            <w:r w:rsidRPr="00083E58">
              <w:t>Technical challenges during site preparation process in regards to the generators electricity lines, and water pipes. Thus, it has been solved in cooperation with KAMPC board members and support of UNDP project team.</w:t>
            </w:r>
          </w:p>
          <w:p w14:paraId="6B1BFC87" w14:textId="77777777" w:rsidR="00083E58" w:rsidRPr="00985025" w:rsidRDefault="00083E58" w:rsidP="005A67FF">
            <w:pPr>
              <w:pStyle w:val="ListParagraph"/>
            </w:pPr>
          </w:p>
          <w:p w14:paraId="155D5C95" w14:textId="77777777" w:rsidR="00030734" w:rsidRPr="008B0F0E" w:rsidRDefault="00030734" w:rsidP="00030734">
            <w:pPr>
              <w:pStyle w:val="ListParagraph"/>
              <w:rPr>
                <w:szCs w:val="22"/>
              </w:rPr>
            </w:pPr>
          </w:p>
        </w:tc>
      </w:tr>
    </w:tbl>
    <w:p w14:paraId="010F93C3" w14:textId="77777777" w:rsidR="0017344B" w:rsidRPr="008B0F0E" w:rsidRDefault="0017344B" w:rsidP="0017344B"/>
    <w:p w14:paraId="4DA4453B" w14:textId="77777777" w:rsidR="0017344B" w:rsidRPr="008B0F0E" w:rsidRDefault="0017344B" w:rsidP="0017344B"/>
    <w:p w14:paraId="3200B46A" w14:textId="77777777" w:rsidR="00DD6FB6" w:rsidRPr="008B0F0E" w:rsidRDefault="00DD6FB6"/>
    <w:tbl>
      <w:tblPr>
        <w:tblStyle w:val="TableGrid"/>
        <w:tblpPr w:leftFromText="180" w:rightFromText="180" w:vertAnchor="text" w:horzAnchor="margin" w:tblpXSpec="center" w:tblpY="98"/>
        <w:tblW w:w="10632" w:type="dxa"/>
        <w:tblLook w:val="04A0" w:firstRow="1" w:lastRow="0" w:firstColumn="1" w:lastColumn="0" w:noHBand="0" w:noVBand="1"/>
      </w:tblPr>
      <w:tblGrid>
        <w:gridCol w:w="10632"/>
      </w:tblGrid>
      <w:tr w:rsidR="008B0F0E" w:rsidRPr="008B0F0E" w14:paraId="48EA0A46" w14:textId="77777777" w:rsidTr="00474206">
        <w:tc>
          <w:tcPr>
            <w:tcW w:w="10632" w:type="dxa"/>
            <w:shd w:val="clear" w:color="auto" w:fill="FFFFCC"/>
          </w:tcPr>
          <w:p w14:paraId="60160C7D" w14:textId="77777777" w:rsidR="00D77F3D" w:rsidRPr="008B0F0E" w:rsidRDefault="00DE7261" w:rsidP="00DE7261">
            <w:pPr>
              <w:rPr>
                <w:szCs w:val="22"/>
              </w:rPr>
            </w:pPr>
            <w:r w:rsidRPr="008B0F0E">
              <w:rPr>
                <w:b/>
                <w:bCs/>
              </w:rPr>
              <w:t xml:space="preserve">Way Forward </w:t>
            </w:r>
          </w:p>
        </w:tc>
      </w:tr>
      <w:tr w:rsidR="008B0F0E" w:rsidRPr="008B0F0E" w14:paraId="5A0C57BF" w14:textId="77777777" w:rsidTr="00474206">
        <w:tc>
          <w:tcPr>
            <w:tcW w:w="10632" w:type="dxa"/>
          </w:tcPr>
          <w:p w14:paraId="55990ABA" w14:textId="4473FC36" w:rsidR="007C7CA8" w:rsidRPr="008B0F0E" w:rsidRDefault="00DE7261" w:rsidP="00147C34">
            <w:pPr>
              <w:pStyle w:val="ListParagraph"/>
              <w:numPr>
                <w:ilvl w:val="0"/>
                <w:numId w:val="24"/>
              </w:numPr>
              <w:rPr>
                <w:szCs w:val="22"/>
              </w:rPr>
            </w:pPr>
            <w:r w:rsidRPr="008B0F0E">
              <w:rPr>
                <w:bCs/>
                <w:szCs w:val="22"/>
              </w:rPr>
              <w:lastRenderedPageBreak/>
              <w:t>KAMPC has established solid functional structure</w:t>
            </w:r>
            <w:r w:rsidR="009A2FAE" w:rsidRPr="008B0F0E">
              <w:rPr>
                <w:bCs/>
                <w:szCs w:val="22"/>
              </w:rPr>
              <w:t>s</w:t>
            </w:r>
            <w:r w:rsidRPr="008B0F0E">
              <w:rPr>
                <w:bCs/>
                <w:szCs w:val="22"/>
              </w:rPr>
              <w:t xml:space="preserve"> with the elected board members</w:t>
            </w:r>
            <w:r w:rsidR="007C7CA8" w:rsidRPr="008B0F0E">
              <w:rPr>
                <w:bCs/>
                <w:szCs w:val="22"/>
              </w:rPr>
              <w:t xml:space="preserve">. </w:t>
            </w:r>
            <w:r w:rsidR="005E35FD" w:rsidRPr="008B0F0E">
              <w:rPr>
                <w:bCs/>
                <w:szCs w:val="22"/>
              </w:rPr>
              <w:t xml:space="preserve">Sustained </w:t>
            </w:r>
            <w:r w:rsidR="007C7CA8" w:rsidRPr="008B0F0E">
              <w:rPr>
                <w:bCs/>
                <w:szCs w:val="22"/>
              </w:rPr>
              <w:t xml:space="preserve">support to KAMPC for strengthening their capacity </w:t>
            </w:r>
            <w:r w:rsidR="009A2FAE" w:rsidRPr="008B0F0E">
              <w:rPr>
                <w:bCs/>
                <w:szCs w:val="22"/>
              </w:rPr>
              <w:t xml:space="preserve">in promoting community participation </w:t>
            </w:r>
            <w:r w:rsidR="007C7CA8" w:rsidRPr="008B0F0E">
              <w:rPr>
                <w:bCs/>
                <w:szCs w:val="22"/>
              </w:rPr>
              <w:t xml:space="preserve">and managing community events is essential </w:t>
            </w:r>
            <w:r w:rsidR="005E35FD" w:rsidRPr="008B0F0E">
              <w:rPr>
                <w:bCs/>
                <w:szCs w:val="22"/>
              </w:rPr>
              <w:t xml:space="preserve">for ensuring sustainability of the Multi-purpose </w:t>
            </w:r>
            <w:r w:rsidR="00874A67" w:rsidRPr="008B0F0E">
              <w:rPr>
                <w:bCs/>
                <w:szCs w:val="22"/>
              </w:rPr>
              <w:t>Centre</w:t>
            </w:r>
            <w:r w:rsidR="005E35FD" w:rsidRPr="008B0F0E">
              <w:rPr>
                <w:bCs/>
                <w:szCs w:val="22"/>
              </w:rPr>
              <w:t xml:space="preserve"> after completion of the building. </w:t>
            </w:r>
          </w:p>
          <w:p w14:paraId="6B3D5F9A" w14:textId="77777777" w:rsidR="00D77F3D" w:rsidRPr="008B0F0E" w:rsidRDefault="005E35FD" w:rsidP="005E35FD">
            <w:pPr>
              <w:pStyle w:val="ListParagraph"/>
              <w:numPr>
                <w:ilvl w:val="0"/>
                <w:numId w:val="24"/>
              </w:numPr>
              <w:rPr>
                <w:szCs w:val="22"/>
              </w:rPr>
            </w:pPr>
            <w:r w:rsidRPr="008B0F0E">
              <w:rPr>
                <w:bCs/>
                <w:szCs w:val="22"/>
              </w:rPr>
              <w:t>More and more community members</w:t>
            </w:r>
            <w:r w:rsidR="009A2FAE" w:rsidRPr="008B0F0E">
              <w:rPr>
                <w:bCs/>
                <w:szCs w:val="22"/>
              </w:rPr>
              <w:t xml:space="preserve"> in</w:t>
            </w:r>
            <w:r w:rsidRPr="008B0F0E">
              <w:rPr>
                <w:bCs/>
                <w:szCs w:val="22"/>
              </w:rPr>
              <w:t xml:space="preserve"> </w:t>
            </w:r>
            <w:proofErr w:type="spellStart"/>
            <w:r w:rsidRPr="008B0F0E">
              <w:rPr>
                <w:bCs/>
                <w:szCs w:val="22"/>
              </w:rPr>
              <w:t>Kurani</w:t>
            </w:r>
            <w:proofErr w:type="spellEnd"/>
            <w:r w:rsidRPr="008B0F0E">
              <w:rPr>
                <w:bCs/>
                <w:szCs w:val="22"/>
              </w:rPr>
              <w:t xml:space="preserve"> </w:t>
            </w:r>
            <w:proofErr w:type="spellStart"/>
            <w:r w:rsidRPr="008B0F0E">
              <w:rPr>
                <w:bCs/>
                <w:szCs w:val="22"/>
              </w:rPr>
              <w:t>Akinkawa</w:t>
            </w:r>
            <w:proofErr w:type="spellEnd"/>
            <w:r w:rsidRPr="008B0F0E">
              <w:rPr>
                <w:bCs/>
                <w:szCs w:val="22"/>
              </w:rPr>
              <w:t xml:space="preserve">, particularly women, </w:t>
            </w:r>
            <w:r w:rsidR="009A2FAE" w:rsidRPr="008B0F0E">
              <w:rPr>
                <w:bCs/>
                <w:szCs w:val="22"/>
              </w:rPr>
              <w:t>have started to</w:t>
            </w:r>
            <w:r w:rsidRPr="008B0F0E">
              <w:rPr>
                <w:bCs/>
                <w:szCs w:val="22"/>
              </w:rPr>
              <w:t xml:space="preserve"> </w:t>
            </w:r>
            <w:r w:rsidR="009A2FAE" w:rsidRPr="008B0F0E">
              <w:rPr>
                <w:bCs/>
                <w:szCs w:val="22"/>
              </w:rPr>
              <w:t>participate</w:t>
            </w:r>
            <w:r w:rsidRPr="008B0F0E">
              <w:rPr>
                <w:bCs/>
                <w:szCs w:val="22"/>
              </w:rPr>
              <w:t xml:space="preserve"> in the community training and events and their motivation to support MPC is heightened. To maintain this momentum, community trainings should continue, which will play an important role in mobilizing the community for participation in MPC construction and transfer</w:t>
            </w:r>
            <w:r w:rsidR="00126A5E" w:rsidRPr="008B0F0E">
              <w:rPr>
                <w:bCs/>
                <w:szCs w:val="22"/>
              </w:rPr>
              <w:t xml:space="preserve"> of</w:t>
            </w:r>
            <w:r w:rsidRPr="008B0F0E">
              <w:rPr>
                <w:bCs/>
                <w:szCs w:val="22"/>
              </w:rPr>
              <w:t xml:space="preserve"> the Rat-Trap techniques to the community.</w:t>
            </w:r>
          </w:p>
          <w:p w14:paraId="2C899593" w14:textId="77777777" w:rsidR="0074743F" w:rsidRPr="008B0F0E" w:rsidRDefault="005E35FD" w:rsidP="00126A5E">
            <w:pPr>
              <w:pStyle w:val="ListParagraph"/>
              <w:numPr>
                <w:ilvl w:val="0"/>
                <w:numId w:val="24"/>
              </w:numPr>
              <w:rPr>
                <w:szCs w:val="22"/>
              </w:rPr>
            </w:pPr>
            <w:r w:rsidRPr="008B0F0E">
              <w:rPr>
                <w:bCs/>
                <w:szCs w:val="22"/>
              </w:rPr>
              <w:t xml:space="preserve">The contracts for a company and NGOs for MPC construction </w:t>
            </w:r>
            <w:r w:rsidR="00126A5E" w:rsidRPr="008B0F0E">
              <w:rPr>
                <w:bCs/>
                <w:szCs w:val="22"/>
              </w:rPr>
              <w:t xml:space="preserve">and community mobilization </w:t>
            </w:r>
            <w:r w:rsidRPr="008B0F0E">
              <w:rPr>
                <w:bCs/>
                <w:szCs w:val="22"/>
              </w:rPr>
              <w:t>are about to be conclu</w:t>
            </w:r>
            <w:r w:rsidR="00126A5E" w:rsidRPr="008B0F0E">
              <w:rPr>
                <w:bCs/>
                <w:szCs w:val="22"/>
              </w:rPr>
              <w:t xml:space="preserve">ded. Construction work should </w:t>
            </w:r>
            <w:r w:rsidRPr="008B0F0E">
              <w:rPr>
                <w:bCs/>
                <w:szCs w:val="22"/>
              </w:rPr>
              <w:t>begin as soon as possible. Furthermore, the current construction contract only covers the main building and women’s wing. Immediate release of the outstanding contribution from</w:t>
            </w:r>
            <w:r w:rsidR="00126A5E" w:rsidRPr="008B0F0E">
              <w:rPr>
                <w:bCs/>
                <w:szCs w:val="22"/>
              </w:rPr>
              <w:t xml:space="preserve"> the</w:t>
            </w:r>
            <w:r w:rsidRPr="008B0F0E">
              <w:rPr>
                <w:bCs/>
                <w:szCs w:val="22"/>
              </w:rPr>
              <w:t xml:space="preserve"> </w:t>
            </w:r>
            <w:proofErr w:type="spellStart"/>
            <w:r w:rsidR="00147C34" w:rsidRPr="008B0F0E">
              <w:rPr>
                <w:bCs/>
                <w:szCs w:val="22"/>
              </w:rPr>
              <w:t>MoP</w:t>
            </w:r>
            <w:proofErr w:type="spellEnd"/>
            <w:r w:rsidR="00147C34" w:rsidRPr="008B0F0E">
              <w:rPr>
                <w:bCs/>
                <w:szCs w:val="22"/>
              </w:rPr>
              <w:t>/</w:t>
            </w:r>
            <w:proofErr w:type="spellStart"/>
            <w:r w:rsidRPr="008B0F0E">
              <w:rPr>
                <w:bCs/>
                <w:szCs w:val="22"/>
              </w:rPr>
              <w:t>KRG</w:t>
            </w:r>
            <w:proofErr w:type="spellEnd"/>
            <w:r w:rsidRPr="008B0F0E">
              <w:rPr>
                <w:bCs/>
                <w:szCs w:val="22"/>
              </w:rPr>
              <w:t xml:space="preserve"> is indispensable to initiate the contraction of the remaining male wing in a timely manner. </w:t>
            </w:r>
          </w:p>
          <w:p w14:paraId="0B2BD909" w14:textId="77777777" w:rsidR="005E35FD" w:rsidRPr="00EE2307" w:rsidRDefault="0074743F" w:rsidP="005E35FD">
            <w:pPr>
              <w:pStyle w:val="ListParagraph"/>
              <w:numPr>
                <w:ilvl w:val="0"/>
                <w:numId w:val="24"/>
              </w:numPr>
              <w:rPr>
                <w:szCs w:val="22"/>
              </w:rPr>
            </w:pPr>
            <w:r w:rsidRPr="008B0F0E">
              <w:rPr>
                <w:bCs/>
                <w:szCs w:val="22"/>
              </w:rPr>
              <w:t>Construction of the park adjacent to the MPC and the landscape in the Center will be conducted by Erbil Governorate Office. Close collaboration with the Governorate Office is required to complete the construction of these facilities.</w:t>
            </w:r>
            <w:r w:rsidRPr="008B0F0E">
              <w:rPr>
                <w:bCs/>
                <w:sz w:val="20"/>
              </w:rPr>
              <w:t xml:space="preserve">  </w:t>
            </w:r>
          </w:p>
          <w:p w14:paraId="353C0158" w14:textId="1E4BD4B6" w:rsidR="00EE2307" w:rsidRPr="008B0F0E" w:rsidRDefault="00EE2307" w:rsidP="008F6AB0">
            <w:pPr>
              <w:pStyle w:val="ListParagraph"/>
              <w:numPr>
                <w:ilvl w:val="0"/>
                <w:numId w:val="24"/>
              </w:numPr>
              <w:rPr>
                <w:szCs w:val="22"/>
              </w:rPr>
            </w:pPr>
            <w:r>
              <w:rPr>
                <w:szCs w:val="22"/>
              </w:rPr>
              <w:t xml:space="preserve">KA centre extended its services for the IDPs and Syrian refuges in KA, a new platform has been established since October 2014 of </w:t>
            </w:r>
            <w:r w:rsidR="008F6AB0">
              <w:rPr>
                <w:szCs w:val="22"/>
              </w:rPr>
              <w:t>eight</w:t>
            </w:r>
            <w:r>
              <w:rPr>
                <w:szCs w:val="22"/>
              </w:rPr>
              <w:t xml:space="preserve"> members form IDPs and Syrian refuges</w:t>
            </w:r>
            <w:r w:rsidR="00520B58">
              <w:rPr>
                <w:szCs w:val="22"/>
              </w:rPr>
              <w:t xml:space="preserve"> representatives</w:t>
            </w:r>
            <w:r>
              <w:rPr>
                <w:szCs w:val="22"/>
              </w:rPr>
              <w:t xml:space="preserve"> in KA</w:t>
            </w:r>
            <w:r w:rsidR="008F6AB0">
              <w:rPr>
                <w:szCs w:val="22"/>
              </w:rPr>
              <w:t>,</w:t>
            </w:r>
            <w:r>
              <w:rPr>
                <w:szCs w:val="22"/>
              </w:rPr>
              <w:t xml:space="preserve"> they work closely with KAMPC board members to address </w:t>
            </w:r>
            <w:r w:rsidR="00755C1D">
              <w:rPr>
                <w:szCs w:val="22"/>
              </w:rPr>
              <w:t xml:space="preserve">their </w:t>
            </w:r>
            <w:r>
              <w:rPr>
                <w:szCs w:val="22"/>
              </w:rPr>
              <w:t>needs</w:t>
            </w:r>
            <w:r w:rsidR="00755C1D">
              <w:rPr>
                <w:szCs w:val="22"/>
              </w:rPr>
              <w:t>,</w:t>
            </w:r>
            <w:r>
              <w:rPr>
                <w:szCs w:val="22"/>
              </w:rPr>
              <w:t xml:space="preserve"> challenges and </w:t>
            </w:r>
            <w:r w:rsidR="00755C1D">
              <w:rPr>
                <w:szCs w:val="22"/>
              </w:rPr>
              <w:t>issues</w:t>
            </w:r>
            <w:r w:rsidR="00341425">
              <w:rPr>
                <w:szCs w:val="22"/>
              </w:rPr>
              <w:t xml:space="preserve"> through different community events.</w:t>
            </w:r>
            <w:r w:rsidR="00104947">
              <w:rPr>
                <w:szCs w:val="22"/>
              </w:rPr>
              <w:t xml:space="preserve"> Currently there are </w:t>
            </w:r>
            <w:r w:rsidR="00874A67">
              <w:rPr>
                <w:szCs w:val="22"/>
              </w:rPr>
              <w:t xml:space="preserve">160 families </w:t>
            </w:r>
            <w:r w:rsidR="00B847C2">
              <w:rPr>
                <w:szCs w:val="22"/>
              </w:rPr>
              <w:t>(45 Syrian refugees and 115 IDPs</w:t>
            </w:r>
            <w:r w:rsidR="00533EED">
              <w:rPr>
                <w:szCs w:val="22"/>
              </w:rPr>
              <w:t>) that get relevant services form KA centre</w:t>
            </w:r>
            <w:r w:rsidR="00B847C2">
              <w:rPr>
                <w:szCs w:val="22"/>
              </w:rPr>
              <w:t>.</w:t>
            </w:r>
          </w:p>
        </w:tc>
      </w:tr>
    </w:tbl>
    <w:p w14:paraId="268F1EDE" w14:textId="77777777" w:rsidR="00D77F3D" w:rsidRPr="008B0F0E" w:rsidRDefault="00D77F3D">
      <w:bookmarkStart w:id="0" w:name="_GoBack"/>
      <w:bookmarkEnd w:id="0"/>
    </w:p>
    <w:p w14:paraId="5B9FF460" w14:textId="77777777" w:rsidR="00D77F3D" w:rsidRPr="008B0F0E" w:rsidRDefault="00D77F3D"/>
    <w:sectPr w:rsidR="00D77F3D" w:rsidRPr="008B0F0E" w:rsidSect="00E6768A">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B6D3E" w14:textId="77777777" w:rsidR="00DF62C2" w:rsidRDefault="00DF62C2" w:rsidP="00985025">
      <w:r>
        <w:separator/>
      </w:r>
    </w:p>
  </w:endnote>
  <w:endnote w:type="continuationSeparator" w:id="0">
    <w:p w14:paraId="5E916C86" w14:textId="77777777" w:rsidR="00DF62C2" w:rsidRDefault="00DF62C2" w:rsidP="009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6704"/>
      <w:docPartObj>
        <w:docPartGallery w:val="Page Numbers (Bottom of Page)"/>
        <w:docPartUnique/>
      </w:docPartObj>
    </w:sdtPr>
    <w:sdtEndPr/>
    <w:sdtContent>
      <w:p w14:paraId="34710380" w14:textId="77777777" w:rsidR="00874A67" w:rsidRDefault="00874A67">
        <w:pPr>
          <w:pStyle w:val="Footer"/>
          <w:jc w:val="right"/>
        </w:pPr>
        <w:r>
          <w:fldChar w:fldCharType="begin"/>
        </w:r>
        <w:r>
          <w:instrText xml:space="preserve"> PAGE   \* MERGEFORMAT </w:instrText>
        </w:r>
        <w:r>
          <w:fldChar w:fldCharType="separate"/>
        </w:r>
        <w:r w:rsidR="00C7160C">
          <w:rPr>
            <w:noProof/>
          </w:rPr>
          <w:t>1</w:t>
        </w:r>
        <w:r>
          <w:rPr>
            <w:noProof/>
          </w:rPr>
          <w:fldChar w:fldCharType="end"/>
        </w:r>
        <w:r>
          <w:t>/5</w:t>
        </w:r>
      </w:p>
    </w:sdtContent>
  </w:sdt>
  <w:p w14:paraId="6EA008C8" w14:textId="77777777" w:rsidR="00874A67" w:rsidRDefault="0087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C3CD" w14:textId="77777777" w:rsidR="00DF62C2" w:rsidRDefault="00DF62C2" w:rsidP="00985025">
      <w:r>
        <w:separator/>
      </w:r>
    </w:p>
  </w:footnote>
  <w:footnote w:type="continuationSeparator" w:id="0">
    <w:p w14:paraId="126968B5" w14:textId="77777777" w:rsidR="00DF62C2" w:rsidRDefault="00DF62C2" w:rsidP="0098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74"/>
    <w:multiLevelType w:val="hybridMultilevel"/>
    <w:tmpl w:val="E2EC11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5500B8E"/>
    <w:multiLevelType w:val="hybridMultilevel"/>
    <w:tmpl w:val="DA1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3619"/>
    <w:multiLevelType w:val="multilevel"/>
    <w:tmpl w:val="43DE055C"/>
    <w:lvl w:ilvl="0">
      <w:start w:val="2"/>
      <w:numFmt w:val="decimal"/>
      <w:lvlText w:val="%1"/>
      <w:lvlJc w:val="left"/>
      <w:pPr>
        <w:tabs>
          <w:tab w:val="num" w:pos="585"/>
        </w:tabs>
        <w:ind w:left="585" w:hanging="585"/>
      </w:pPr>
    </w:lvl>
    <w:lvl w:ilvl="1">
      <w:start w:val="3"/>
      <w:numFmt w:val="decimal"/>
      <w:lvlText w:val="%1.%2"/>
      <w:lvlJc w:val="left"/>
      <w:pPr>
        <w:tabs>
          <w:tab w:val="num" w:pos="1167"/>
        </w:tabs>
        <w:ind w:left="1167" w:hanging="585"/>
      </w:pPr>
    </w:lvl>
    <w:lvl w:ilvl="2">
      <w:start w:val="1"/>
      <w:numFmt w:val="decimal"/>
      <w:lvlText w:val="%1.%2.%3"/>
      <w:lvlJc w:val="left"/>
      <w:pPr>
        <w:tabs>
          <w:tab w:val="num" w:pos="1884"/>
        </w:tabs>
        <w:ind w:left="1884" w:hanging="720"/>
      </w:pPr>
    </w:lvl>
    <w:lvl w:ilvl="3">
      <w:start w:val="1"/>
      <w:numFmt w:val="decimal"/>
      <w:lvlText w:val="%1.%2.%3.%4"/>
      <w:lvlJc w:val="left"/>
      <w:pPr>
        <w:tabs>
          <w:tab w:val="num" w:pos="2466"/>
        </w:tabs>
        <w:ind w:left="2466" w:hanging="720"/>
      </w:pPr>
    </w:lvl>
    <w:lvl w:ilvl="4">
      <w:start w:val="1"/>
      <w:numFmt w:val="decimal"/>
      <w:lvlText w:val="%1.%2.%3.%4.%5"/>
      <w:lvlJc w:val="left"/>
      <w:pPr>
        <w:tabs>
          <w:tab w:val="num" w:pos="3048"/>
        </w:tabs>
        <w:ind w:left="3048" w:hanging="720"/>
      </w:pPr>
    </w:lvl>
    <w:lvl w:ilvl="5">
      <w:start w:val="1"/>
      <w:numFmt w:val="decimal"/>
      <w:lvlText w:val="%1.%2.%3.%4.%5.%6"/>
      <w:lvlJc w:val="left"/>
      <w:pPr>
        <w:tabs>
          <w:tab w:val="num" w:pos="3990"/>
        </w:tabs>
        <w:ind w:left="3990" w:hanging="1080"/>
      </w:pPr>
    </w:lvl>
    <w:lvl w:ilvl="6">
      <w:start w:val="1"/>
      <w:numFmt w:val="decimal"/>
      <w:lvlText w:val="%1.%2.%3.%4.%5.%6.%7"/>
      <w:lvlJc w:val="left"/>
      <w:pPr>
        <w:tabs>
          <w:tab w:val="num" w:pos="4572"/>
        </w:tabs>
        <w:ind w:left="4572" w:hanging="1080"/>
      </w:pPr>
    </w:lvl>
    <w:lvl w:ilvl="7">
      <w:start w:val="1"/>
      <w:numFmt w:val="decimal"/>
      <w:lvlText w:val="%1.%2.%3.%4.%5.%6.%7.%8"/>
      <w:lvlJc w:val="left"/>
      <w:pPr>
        <w:tabs>
          <w:tab w:val="num" w:pos="5514"/>
        </w:tabs>
        <w:ind w:left="5514" w:hanging="1440"/>
      </w:pPr>
    </w:lvl>
    <w:lvl w:ilvl="8">
      <w:start w:val="1"/>
      <w:numFmt w:val="decimal"/>
      <w:lvlText w:val="%1.%2.%3.%4.%5.%6.%7.%8.%9"/>
      <w:lvlJc w:val="left"/>
      <w:pPr>
        <w:tabs>
          <w:tab w:val="num" w:pos="6096"/>
        </w:tabs>
        <w:ind w:left="6096" w:hanging="1440"/>
      </w:pPr>
    </w:lvl>
  </w:abstractNum>
  <w:abstractNum w:abstractNumId="3">
    <w:nsid w:val="14122F19"/>
    <w:multiLevelType w:val="hybridMultilevel"/>
    <w:tmpl w:val="A2B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0916"/>
    <w:multiLevelType w:val="hybridMultilevel"/>
    <w:tmpl w:val="BDE47BE2"/>
    <w:lvl w:ilvl="0" w:tplc="0BA041B6">
      <w:start w:val="1"/>
      <w:numFmt w:val="decimal"/>
      <w:lvlText w:val="%1."/>
      <w:lvlJc w:val="left"/>
      <w:pPr>
        <w:tabs>
          <w:tab w:val="num" w:pos="717"/>
        </w:tabs>
        <w:ind w:left="717" w:hanging="360"/>
      </w:pPr>
    </w:lvl>
    <w:lvl w:ilvl="1" w:tplc="63AAD584">
      <w:start w:val="1"/>
      <w:numFmt w:val="decimal"/>
      <w:isLgl/>
      <w:lvlText w:val="%2.%2"/>
      <w:lvlJc w:val="left"/>
      <w:pPr>
        <w:tabs>
          <w:tab w:val="num" w:pos="360"/>
        </w:tabs>
        <w:ind w:left="360" w:hanging="360"/>
      </w:pPr>
    </w:lvl>
    <w:lvl w:ilvl="2" w:tplc="AFE6A27A">
      <w:numFmt w:val="none"/>
      <w:lvlText w:val=""/>
      <w:lvlJc w:val="left"/>
      <w:pPr>
        <w:tabs>
          <w:tab w:val="num" w:pos="360"/>
        </w:tabs>
        <w:ind w:left="0" w:firstLine="0"/>
      </w:pPr>
    </w:lvl>
    <w:lvl w:ilvl="3" w:tplc="A9F24F86">
      <w:numFmt w:val="none"/>
      <w:lvlText w:val=""/>
      <w:lvlJc w:val="left"/>
      <w:pPr>
        <w:tabs>
          <w:tab w:val="num" w:pos="360"/>
        </w:tabs>
        <w:ind w:left="0" w:firstLine="0"/>
      </w:pPr>
    </w:lvl>
    <w:lvl w:ilvl="4" w:tplc="1664606E">
      <w:numFmt w:val="none"/>
      <w:lvlText w:val=""/>
      <w:lvlJc w:val="left"/>
      <w:pPr>
        <w:tabs>
          <w:tab w:val="num" w:pos="360"/>
        </w:tabs>
        <w:ind w:left="0" w:firstLine="0"/>
      </w:pPr>
    </w:lvl>
    <w:lvl w:ilvl="5" w:tplc="B094902C">
      <w:numFmt w:val="none"/>
      <w:lvlText w:val=""/>
      <w:lvlJc w:val="left"/>
      <w:pPr>
        <w:tabs>
          <w:tab w:val="num" w:pos="360"/>
        </w:tabs>
        <w:ind w:left="0" w:firstLine="0"/>
      </w:pPr>
    </w:lvl>
    <w:lvl w:ilvl="6" w:tplc="6C3824E0">
      <w:numFmt w:val="none"/>
      <w:lvlText w:val=""/>
      <w:lvlJc w:val="left"/>
      <w:pPr>
        <w:tabs>
          <w:tab w:val="num" w:pos="360"/>
        </w:tabs>
        <w:ind w:left="0" w:firstLine="0"/>
      </w:pPr>
    </w:lvl>
    <w:lvl w:ilvl="7" w:tplc="FBA46B8A">
      <w:numFmt w:val="none"/>
      <w:lvlText w:val=""/>
      <w:lvlJc w:val="left"/>
      <w:pPr>
        <w:tabs>
          <w:tab w:val="num" w:pos="360"/>
        </w:tabs>
        <w:ind w:left="0" w:firstLine="0"/>
      </w:pPr>
    </w:lvl>
    <w:lvl w:ilvl="8" w:tplc="181A0CCA">
      <w:numFmt w:val="none"/>
      <w:lvlText w:val=""/>
      <w:lvlJc w:val="left"/>
      <w:pPr>
        <w:tabs>
          <w:tab w:val="num" w:pos="360"/>
        </w:tabs>
        <w:ind w:left="0" w:firstLine="0"/>
      </w:pPr>
    </w:lvl>
  </w:abstractNum>
  <w:abstractNum w:abstractNumId="5">
    <w:nsid w:val="182E4734"/>
    <w:multiLevelType w:val="multilevel"/>
    <w:tmpl w:val="8E6068B2"/>
    <w:lvl w:ilvl="0">
      <w:start w:val="2"/>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9BD2DA1"/>
    <w:multiLevelType w:val="multilevel"/>
    <w:tmpl w:val="87B81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61683C"/>
    <w:multiLevelType w:val="hybridMultilevel"/>
    <w:tmpl w:val="3AFE8A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1DA3283F"/>
    <w:multiLevelType w:val="multilevel"/>
    <w:tmpl w:val="76946CF8"/>
    <w:lvl w:ilvl="0">
      <w:start w:val="2"/>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2769271A"/>
    <w:multiLevelType w:val="hybridMultilevel"/>
    <w:tmpl w:val="EB3AD470"/>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0">
    <w:nsid w:val="27EC3F7F"/>
    <w:multiLevelType w:val="hybridMultilevel"/>
    <w:tmpl w:val="FE5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60DF8"/>
    <w:multiLevelType w:val="multilevel"/>
    <w:tmpl w:val="08EE0156"/>
    <w:lvl w:ilvl="0">
      <w:start w:val="1"/>
      <w:numFmt w:val="decimal"/>
      <w:lvlText w:val="%1"/>
      <w:lvlJc w:val="left"/>
      <w:pPr>
        <w:tabs>
          <w:tab w:val="num" w:pos="390"/>
        </w:tabs>
        <w:ind w:left="390" w:hanging="390"/>
      </w:pPr>
      <w:rPr>
        <w:sz w:val="20"/>
      </w:rPr>
    </w:lvl>
    <w:lvl w:ilvl="1">
      <w:start w:val="4"/>
      <w:numFmt w:val="decimal"/>
      <w:lvlText w:val="%1.%2"/>
      <w:lvlJc w:val="left"/>
      <w:pPr>
        <w:tabs>
          <w:tab w:val="num" w:pos="930"/>
        </w:tabs>
        <w:ind w:left="930" w:hanging="390"/>
      </w:pPr>
      <w:rPr>
        <w:sz w:val="20"/>
      </w:rPr>
    </w:lvl>
    <w:lvl w:ilvl="2">
      <w:start w:val="1"/>
      <w:numFmt w:val="decimal"/>
      <w:lvlText w:val="%1.%2.%3"/>
      <w:lvlJc w:val="left"/>
      <w:pPr>
        <w:tabs>
          <w:tab w:val="num" w:pos="1800"/>
        </w:tabs>
        <w:ind w:left="1800" w:hanging="720"/>
      </w:pPr>
      <w:rPr>
        <w:sz w:val="20"/>
      </w:rPr>
    </w:lvl>
    <w:lvl w:ilvl="3">
      <w:start w:val="1"/>
      <w:numFmt w:val="decimal"/>
      <w:lvlText w:val="%1.%2.%3.%4"/>
      <w:lvlJc w:val="left"/>
      <w:pPr>
        <w:tabs>
          <w:tab w:val="num" w:pos="2340"/>
        </w:tabs>
        <w:ind w:left="2340" w:hanging="720"/>
      </w:pPr>
      <w:rPr>
        <w:sz w:val="20"/>
      </w:rPr>
    </w:lvl>
    <w:lvl w:ilvl="4">
      <w:start w:val="1"/>
      <w:numFmt w:val="decimal"/>
      <w:lvlText w:val="%1.%2.%3.%4.%5"/>
      <w:lvlJc w:val="left"/>
      <w:pPr>
        <w:tabs>
          <w:tab w:val="num" w:pos="3240"/>
        </w:tabs>
        <w:ind w:left="3240" w:hanging="1080"/>
      </w:pPr>
      <w:rPr>
        <w:sz w:val="20"/>
      </w:rPr>
    </w:lvl>
    <w:lvl w:ilvl="5">
      <w:start w:val="1"/>
      <w:numFmt w:val="decimal"/>
      <w:lvlText w:val="%1.%2.%3.%4.%5.%6"/>
      <w:lvlJc w:val="left"/>
      <w:pPr>
        <w:tabs>
          <w:tab w:val="num" w:pos="3780"/>
        </w:tabs>
        <w:ind w:left="3780" w:hanging="1080"/>
      </w:pPr>
      <w:rPr>
        <w:sz w:val="20"/>
      </w:rPr>
    </w:lvl>
    <w:lvl w:ilvl="6">
      <w:start w:val="1"/>
      <w:numFmt w:val="decimal"/>
      <w:lvlText w:val="%1.%2.%3.%4.%5.%6.%7"/>
      <w:lvlJc w:val="left"/>
      <w:pPr>
        <w:tabs>
          <w:tab w:val="num" w:pos="4680"/>
        </w:tabs>
        <w:ind w:left="4680" w:hanging="1440"/>
      </w:pPr>
      <w:rPr>
        <w:sz w:val="20"/>
      </w:rPr>
    </w:lvl>
    <w:lvl w:ilvl="7">
      <w:start w:val="1"/>
      <w:numFmt w:val="decimal"/>
      <w:lvlText w:val="%1.%2.%3.%4.%5.%6.%7.%8"/>
      <w:lvlJc w:val="left"/>
      <w:pPr>
        <w:tabs>
          <w:tab w:val="num" w:pos="5220"/>
        </w:tabs>
        <w:ind w:left="5220" w:hanging="1440"/>
      </w:pPr>
      <w:rPr>
        <w:sz w:val="20"/>
      </w:rPr>
    </w:lvl>
    <w:lvl w:ilvl="8">
      <w:start w:val="1"/>
      <w:numFmt w:val="decimal"/>
      <w:lvlText w:val="%1.%2.%3.%4.%5.%6.%7.%8.%9"/>
      <w:lvlJc w:val="left"/>
      <w:pPr>
        <w:tabs>
          <w:tab w:val="num" w:pos="5760"/>
        </w:tabs>
        <w:ind w:left="5760" w:hanging="1440"/>
      </w:pPr>
      <w:rPr>
        <w:sz w:val="20"/>
      </w:rPr>
    </w:lvl>
  </w:abstractNum>
  <w:abstractNum w:abstractNumId="12">
    <w:nsid w:val="35F828F2"/>
    <w:multiLevelType w:val="hybridMultilevel"/>
    <w:tmpl w:val="FE5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26C72"/>
    <w:multiLevelType w:val="multilevel"/>
    <w:tmpl w:val="60A076D4"/>
    <w:lvl w:ilvl="0">
      <w:start w:val="1"/>
      <w:numFmt w:val="decimal"/>
      <w:lvlText w:val="%1"/>
      <w:lvlJc w:val="left"/>
      <w:pPr>
        <w:tabs>
          <w:tab w:val="num" w:pos="360"/>
        </w:tabs>
        <w:ind w:left="360" w:hanging="360"/>
      </w:pPr>
      <w:rPr>
        <w:sz w:val="22"/>
      </w:rPr>
    </w:lvl>
    <w:lvl w:ilvl="1">
      <w:start w:val="1"/>
      <w:numFmt w:val="decimal"/>
      <w:lvlText w:val="%1.%2"/>
      <w:lvlJc w:val="left"/>
      <w:pPr>
        <w:tabs>
          <w:tab w:val="num" w:pos="417"/>
        </w:tabs>
        <w:ind w:left="417" w:hanging="360"/>
      </w:pPr>
      <w:rPr>
        <w:sz w:val="22"/>
      </w:rPr>
    </w:lvl>
    <w:lvl w:ilvl="2">
      <w:start w:val="1"/>
      <w:numFmt w:val="decimal"/>
      <w:lvlText w:val="%1.%2.%3"/>
      <w:lvlJc w:val="left"/>
      <w:pPr>
        <w:tabs>
          <w:tab w:val="num" w:pos="834"/>
        </w:tabs>
        <w:ind w:left="834" w:hanging="720"/>
      </w:pPr>
      <w:rPr>
        <w:sz w:val="22"/>
      </w:rPr>
    </w:lvl>
    <w:lvl w:ilvl="3">
      <w:start w:val="1"/>
      <w:numFmt w:val="decimal"/>
      <w:lvlText w:val="%1.%2.%3.%4"/>
      <w:lvlJc w:val="left"/>
      <w:pPr>
        <w:tabs>
          <w:tab w:val="num" w:pos="891"/>
        </w:tabs>
        <w:ind w:left="891" w:hanging="720"/>
      </w:pPr>
      <w:rPr>
        <w:sz w:val="22"/>
      </w:rPr>
    </w:lvl>
    <w:lvl w:ilvl="4">
      <w:start w:val="1"/>
      <w:numFmt w:val="decimal"/>
      <w:lvlText w:val="%1.%2.%3.%4.%5"/>
      <w:lvlJc w:val="left"/>
      <w:pPr>
        <w:tabs>
          <w:tab w:val="num" w:pos="1308"/>
        </w:tabs>
        <w:ind w:left="1308" w:hanging="1080"/>
      </w:pPr>
      <w:rPr>
        <w:sz w:val="22"/>
      </w:rPr>
    </w:lvl>
    <w:lvl w:ilvl="5">
      <w:start w:val="1"/>
      <w:numFmt w:val="decimal"/>
      <w:lvlText w:val="%1.%2.%3.%4.%5.%6"/>
      <w:lvlJc w:val="left"/>
      <w:pPr>
        <w:tabs>
          <w:tab w:val="num" w:pos="1365"/>
        </w:tabs>
        <w:ind w:left="1365" w:hanging="1080"/>
      </w:pPr>
      <w:rPr>
        <w:sz w:val="22"/>
      </w:rPr>
    </w:lvl>
    <w:lvl w:ilvl="6">
      <w:start w:val="1"/>
      <w:numFmt w:val="decimal"/>
      <w:lvlText w:val="%1.%2.%3.%4.%5.%6.%7"/>
      <w:lvlJc w:val="left"/>
      <w:pPr>
        <w:tabs>
          <w:tab w:val="num" w:pos="1782"/>
        </w:tabs>
        <w:ind w:left="1782" w:hanging="1440"/>
      </w:pPr>
      <w:rPr>
        <w:sz w:val="22"/>
      </w:rPr>
    </w:lvl>
    <w:lvl w:ilvl="7">
      <w:start w:val="1"/>
      <w:numFmt w:val="decimal"/>
      <w:lvlText w:val="%1.%2.%3.%4.%5.%6.%7.%8"/>
      <w:lvlJc w:val="left"/>
      <w:pPr>
        <w:tabs>
          <w:tab w:val="num" w:pos="1839"/>
        </w:tabs>
        <w:ind w:left="1839" w:hanging="1440"/>
      </w:pPr>
      <w:rPr>
        <w:sz w:val="22"/>
      </w:rPr>
    </w:lvl>
    <w:lvl w:ilvl="8">
      <w:start w:val="1"/>
      <w:numFmt w:val="decimal"/>
      <w:lvlText w:val="%1.%2.%3.%4.%5.%6.%7.%8.%9"/>
      <w:lvlJc w:val="left"/>
      <w:pPr>
        <w:tabs>
          <w:tab w:val="num" w:pos="1896"/>
        </w:tabs>
        <w:ind w:left="1896" w:hanging="1440"/>
      </w:pPr>
      <w:rPr>
        <w:sz w:val="22"/>
      </w:rPr>
    </w:lvl>
  </w:abstractNum>
  <w:abstractNum w:abstractNumId="14">
    <w:nsid w:val="48ED70E2"/>
    <w:multiLevelType w:val="hybridMultilevel"/>
    <w:tmpl w:val="FE5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A2C15"/>
    <w:multiLevelType w:val="hybridMultilevel"/>
    <w:tmpl w:val="A00C784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4FC34402"/>
    <w:multiLevelType w:val="multilevel"/>
    <w:tmpl w:val="7CEE4336"/>
    <w:lvl w:ilvl="0">
      <w:start w:val="3"/>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5F73E33"/>
    <w:multiLevelType w:val="hybridMultilevel"/>
    <w:tmpl w:val="D3ECA7E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64A903E5"/>
    <w:multiLevelType w:val="multilevel"/>
    <w:tmpl w:val="35F8F6F6"/>
    <w:lvl w:ilvl="0">
      <w:start w:val="3"/>
      <w:numFmt w:val="decimal"/>
      <w:lvlText w:val="%1"/>
      <w:lvlJc w:val="left"/>
      <w:pPr>
        <w:tabs>
          <w:tab w:val="num" w:pos="390"/>
        </w:tabs>
        <w:ind w:left="390" w:hanging="390"/>
      </w:pPr>
    </w:lvl>
    <w:lvl w:ilvl="1">
      <w:start w:val="1"/>
      <w:numFmt w:val="decimal"/>
      <w:lvlText w:val="%1.%2"/>
      <w:lvlJc w:val="left"/>
      <w:pPr>
        <w:tabs>
          <w:tab w:val="num" w:pos="1263"/>
        </w:tabs>
        <w:ind w:left="1263" w:hanging="390"/>
      </w:pPr>
    </w:lvl>
    <w:lvl w:ilvl="2">
      <w:start w:val="1"/>
      <w:numFmt w:val="decimal"/>
      <w:lvlText w:val="%1.%2.%3"/>
      <w:lvlJc w:val="left"/>
      <w:pPr>
        <w:tabs>
          <w:tab w:val="num" w:pos="2466"/>
        </w:tabs>
        <w:ind w:left="2466" w:hanging="720"/>
      </w:pPr>
    </w:lvl>
    <w:lvl w:ilvl="3">
      <w:start w:val="1"/>
      <w:numFmt w:val="decimal"/>
      <w:lvlText w:val="%1.%2.%3.%4"/>
      <w:lvlJc w:val="left"/>
      <w:pPr>
        <w:tabs>
          <w:tab w:val="num" w:pos="3339"/>
        </w:tabs>
        <w:ind w:left="3339" w:hanging="720"/>
      </w:pPr>
    </w:lvl>
    <w:lvl w:ilvl="4">
      <w:start w:val="1"/>
      <w:numFmt w:val="decimal"/>
      <w:lvlText w:val="%1.%2.%3.%4.%5"/>
      <w:lvlJc w:val="left"/>
      <w:pPr>
        <w:tabs>
          <w:tab w:val="num" w:pos="4212"/>
        </w:tabs>
        <w:ind w:left="4212" w:hanging="720"/>
      </w:pPr>
    </w:lvl>
    <w:lvl w:ilvl="5">
      <w:start w:val="1"/>
      <w:numFmt w:val="decimal"/>
      <w:lvlText w:val="%1.%2.%3.%4.%5.%6"/>
      <w:lvlJc w:val="left"/>
      <w:pPr>
        <w:tabs>
          <w:tab w:val="num" w:pos="5445"/>
        </w:tabs>
        <w:ind w:left="5445" w:hanging="1080"/>
      </w:pPr>
    </w:lvl>
    <w:lvl w:ilvl="6">
      <w:start w:val="1"/>
      <w:numFmt w:val="decimal"/>
      <w:lvlText w:val="%1.%2.%3.%4.%5.%6.%7"/>
      <w:lvlJc w:val="left"/>
      <w:pPr>
        <w:tabs>
          <w:tab w:val="num" w:pos="6318"/>
        </w:tabs>
        <w:ind w:left="6318" w:hanging="1080"/>
      </w:pPr>
    </w:lvl>
    <w:lvl w:ilvl="7">
      <w:start w:val="1"/>
      <w:numFmt w:val="decimal"/>
      <w:lvlText w:val="%1.%2.%3.%4.%5.%6.%7.%8"/>
      <w:lvlJc w:val="left"/>
      <w:pPr>
        <w:tabs>
          <w:tab w:val="num" w:pos="7551"/>
        </w:tabs>
        <w:ind w:left="7551" w:hanging="1440"/>
      </w:pPr>
    </w:lvl>
    <w:lvl w:ilvl="8">
      <w:start w:val="1"/>
      <w:numFmt w:val="decimal"/>
      <w:lvlText w:val="%1.%2.%3.%4.%5.%6.%7.%8.%9"/>
      <w:lvlJc w:val="left"/>
      <w:pPr>
        <w:tabs>
          <w:tab w:val="num" w:pos="8424"/>
        </w:tabs>
        <w:ind w:left="8424" w:hanging="1440"/>
      </w:pPr>
    </w:lvl>
  </w:abstractNum>
  <w:abstractNum w:abstractNumId="19">
    <w:nsid w:val="650E1C1C"/>
    <w:multiLevelType w:val="hybridMultilevel"/>
    <w:tmpl w:val="062E77BE"/>
    <w:lvl w:ilvl="0" w:tplc="987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560A1"/>
    <w:multiLevelType w:val="multilevel"/>
    <w:tmpl w:val="598A76FC"/>
    <w:lvl w:ilvl="0">
      <w:start w:val="2"/>
      <w:numFmt w:val="decimal"/>
      <w:lvlText w:val="%1"/>
      <w:lvlJc w:val="left"/>
      <w:pPr>
        <w:tabs>
          <w:tab w:val="num" w:pos="360"/>
        </w:tabs>
        <w:ind w:left="360" w:hanging="360"/>
      </w:pPr>
    </w:lvl>
    <w:lvl w:ilvl="1">
      <w:start w:val="1"/>
      <w:numFmt w:val="decimal"/>
      <w:lvlText w:val="%1.%2"/>
      <w:lvlJc w:val="left"/>
      <w:pPr>
        <w:tabs>
          <w:tab w:val="num" w:pos="748"/>
        </w:tabs>
        <w:ind w:left="748" w:hanging="360"/>
      </w:pPr>
    </w:lvl>
    <w:lvl w:ilvl="2">
      <w:start w:val="1"/>
      <w:numFmt w:val="decimal"/>
      <w:lvlText w:val="%1.%2.%3"/>
      <w:lvlJc w:val="left"/>
      <w:pPr>
        <w:tabs>
          <w:tab w:val="num" w:pos="1496"/>
        </w:tabs>
        <w:ind w:left="1496" w:hanging="720"/>
      </w:pPr>
    </w:lvl>
    <w:lvl w:ilvl="3">
      <w:start w:val="1"/>
      <w:numFmt w:val="decimal"/>
      <w:lvlText w:val="%1.%2.%3.%4"/>
      <w:lvlJc w:val="left"/>
      <w:pPr>
        <w:tabs>
          <w:tab w:val="num" w:pos="1884"/>
        </w:tabs>
        <w:ind w:left="1884" w:hanging="720"/>
      </w:pPr>
    </w:lvl>
    <w:lvl w:ilvl="4">
      <w:start w:val="1"/>
      <w:numFmt w:val="decimal"/>
      <w:lvlText w:val="%1.%2.%3.%4.%5"/>
      <w:lvlJc w:val="left"/>
      <w:pPr>
        <w:tabs>
          <w:tab w:val="num" w:pos="2272"/>
        </w:tabs>
        <w:ind w:left="2272" w:hanging="720"/>
      </w:pPr>
    </w:lvl>
    <w:lvl w:ilvl="5">
      <w:start w:val="1"/>
      <w:numFmt w:val="decimal"/>
      <w:lvlText w:val="%1.%2.%3.%4.%5.%6"/>
      <w:lvlJc w:val="left"/>
      <w:pPr>
        <w:tabs>
          <w:tab w:val="num" w:pos="3020"/>
        </w:tabs>
        <w:ind w:left="3020" w:hanging="1080"/>
      </w:pPr>
    </w:lvl>
    <w:lvl w:ilvl="6">
      <w:start w:val="1"/>
      <w:numFmt w:val="decimal"/>
      <w:lvlText w:val="%1.%2.%3.%4.%5.%6.%7"/>
      <w:lvlJc w:val="left"/>
      <w:pPr>
        <w:tabs>
          <w:tab w:val="num" w:pos="3408"/>
        </w:tabs>
        <w:ind w:left="3408" w:hanging="1080"/>
      </w:pPr>
    </w:lvl>
    <w:lvl w:ilvl="7">
      <w:start w:val="1"/>
      <w:numFmt w:val="decimal"/>
      <w:lvlText w:val="%1.%2.%3.%4.%5.%6.%7.%8"/>
      <w:lvlJc w:val="left"/>
      <w:pPr>
        <w:tabs>
          <w:tab w:val="num" w:pos="4156"/>
        </w:tabs>
        <w:ind w:left="4156" w:hanging="1440"/>
      </w:pPr>
    </w:lvl>
    <w:lvl w:ilvl="8">
      <w:start w:val="1"/>
      <w:numFmt w:val="decimal"/>
      <w:lvlText w:val="%1.%2.%3.%4.%5.%6.%7.%8.%9"/>
      <w:lvlJc w:val="left"/>
      <w:pPr>
        <w:tabs>
          <w:tab w:val="num" w:pos="4544"/>
        </w:tabs>
        <w:ind w:left="4544" w:hanging="1440"/>
      </w:pPr>
    </w:lvl>
  </w:abstractNum>
  <w:abstractNum w:abstractNumId="21">
    <w:nsid w:val="68A133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C972BC9"/>
    <w:multiLevelType w:val="multilevel"/>
    <w:tmpl w:val="117AD3AC"/>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6D453B59"/>
    <w:multiLevelType w:val="hybridMultilevel"/>
    <w:tmpl w:val="04BE5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B37484"/>
    <w:multiLevelType w:val="hybridMultilevel"/>
    <w:tmpl w:val="4DAE60F0"/>
    <w:lvl w:ilvl="0" w:tplc="7292BD72">
      <w:start w:val="2"/>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nsid w:val="748B53A1"/>
    <w:multiLevelType w:val="hybridMultilevel"/>
    <w:tmpl w:val="AEC42110"/>
    <w:lvl w:ilvl="0" w:tplc="4D9A8BA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5"/>
  </w:num>
  <w:num w:numId="15">
    <w:abstractNumId w:val="9"/>
  </w:num>
  <w:num w:numId="16">
    <w:abstractNumId w:val="12"/>
  </w:num>
  <w:num w:numId="17">
    <w:abstractNumId w:val="24"/>
  </w:num>
  <w:num w:numId="18">
    <w:abstractNumId w:val="7"/>
  </w:num>
  <w:num w:numId="19">
    <w:abstractNumId w:val="0"/>
  </w:num>
  <w:num w:numId="20">
    <w:abstractNumId w:val="17"/>
  </w:num>
  <w:num w:numId="21">
    <w:abstractNumId w:val="19"/>
  </w:num>
  <w:num w:numId="22">
    <w:abstractNumId w:val="6"/>
  </w:num>
  <w:num w:numId="23">
    <w:abstractNumId w:val="1"/>
  </w:num>
  <w:num w:numId="24">
    <w:abstractNumId w:val="14"/>
  </w:num>
  <w:num w:numId="25">
    <w:abstractNumId w:val="10"/>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4B"/>
    <w:rsid w:val="00001E22"/>
    <w:rsid w:val="00030734"/>
    <w:rsid w:val="00052623"/>
    <w:rsid w:val="00063204"/>
    <w:rsid w:val="0006620D"/>
    <w:rsid w:val="000733C4"/>
    <w:rsid w:val="0007474E"/>
    <w:rsid w:val="00083E58"/>
    <w:rsid w:val="000B3440"/>
    <w:rsid w:val="000B3632"/>
    <w:rsid w:val="000B4F85"/>
    <w:rsid w:val="000B7542"/>
    <w:rsid w:val="000C6295"/>
    <w:rsid w:val="000C6A39"/>
    <w:rsid w:val="000C7DF4"/>
    <w:rsid w:val="000E0665"/>
    <w:rsid w:val="000E0D61"/>
    <w:rsid w:val="000E5CFC"/>
    <w:rsid w:val="00104947"/>
    <w:rsid w:val="00126A5E"/>
    <w:rsid w:val="0013177D"/>
    <w:rsid w:val="00136FC2"/>
    <w:rsid w:val="00142E09"/>
    <w:rsid w:val="00147302"/>
    <w:rsid w:val="00147C34"/>
    <w:rsid w:val="001639A9"/>
    <w:rsid w:val="0017344B"/>
    <w:rsid w:val="0017561E"/>
    <w:rsid w:val="001E3236"/>
    <w:rsid w:val="001F3CE9"/>
    <w:rsid w:val="00202650"/>
    <w:rsid w:val="00205DB0"/>
    <w:rsid w:val="002113A0"/>
    <w:rsid w:val="0022365D"/>
    <w:rsid w:val="002938ED"/>
    <w:rsid w:val="00297CFF"/>
    <w:rsid w:val="002A4DD8"/>
    <w:rsid w:val="002B5AB6"/>
    <w:rsid w:val="002C2559"/>
    <w:rsid w:val="002D3A68"/>
    <w:rsid w:val="002D7D2D"/>
    <w:rsid w:val="002E3525"/>
    <w:rsid w:val="002E4A89"/>
    <w:rsid w:val="002F4408"/>
    <w:rsid w:val="002F667C"/>
    <w:rsid w:val="00301356"/>
    <w:rsid w:val="00341425"/>
    <w:rsid w:val="003455D7"/>
    <w:rsid w:val="00346F79"/>
    <w:rsid w:val="00355F48"/>
    <w:rsid w:val="0036099F"/>
    <w:rsid w:val="00371587"/>
    <w:rsid w:val="003A112C"/>
    <w:rsid w:val="003C07E2"/>
    <w:rsid w:val="003C4274"/>
    <w:rsid w:val="003D0652"/>
    <w:rsid w:val="003F1337"/>
    <w:rsid w:val="003F22F4"/>
    <w:rsid w:val="00405EBE"/>
    <w:rsid w:val="0042555C"/>
    <w:rsid w:val="004258A0"/>
    <w:rsid w:val="00431ABB"/>
    <w:rsid w:val="00432057"/>
    <w:rsid w:val="004355B6"/>
    <w:rsid w:val="00437928"/>
    <w:rsid w:val="004478D5"/>
    <w:rsid w:val="00474206"/>
    <w:rsid w:val="004765D2"/>
    <w:rsid w:val="00477EBE"/>
    <w:rsid w:val="00490F0D"/>
    <w:rsid w:val="004B098D"/>
    <w:rsid w:val="004C08D3"/>
    <w:rsid w:val="004E78CD"/>
    <w:rsid w:val="00511A01"/>
    <w:rsid w:val="00520B58"/>
    <w:rsid w:val="0052165F"/>
    <w:rsid w:val="005310C6"/>
    <w:rsid w:val="00533EED"/>
    <w:rsid w:val="005372EC"/>
    <w:rsid w:val="00570D4A"/>
    <w:rsid w:val="00584A6B"/>
    <w:rsid w:val="0059319A"/>
    <w:rsid w:val="005A67FF"/>
    <w:rsid w:val="005B582F"/>
    <w:rsid w:val="005D0D48"/>
    <w:rsid w:val="005E35FD"/>
    <w:rsid w:val="005E3A95"/>
    <w:rsid w:val="00620718"/>
    <w:rsid w:val="00641A27"/>
    <w:rsid w:val="0064389B"/>
    <w:rsid w:val="006504CB"/>
    <w:rsid w:val="00685820"/>
    <w:rsid w:val="006904E0"/>
    <w:rsid w:val="006B5C08"/>
    <w:rsid w:val="006C0C31"/>
    <w:rsid w:val="006D0E15"/>
    <w:rsid w:val="006D14A8"/>
    <w:rsid w:val="006D2C20"/>
    <w:rsid w:val="007016BF"/>
    <w:rsid w:val="007059D2"/>
    <w:rsid w:val="00705CDA"/>
    <w:rsid w:val="0071107C"/>
    <w:rsid w:val="00717149"/>
    <w:rsid w:val="0073546E"/>
    <w:rsid w:val="00737D47"/>
    <w:rsid w:val="0074743F"/>
    <w:rsid w:val="007557B0"/>
    <w:rsid w:val="00755C1D"/>
    <w:rsid w:val="00761C2E"/>
    <w:rsid w:val="00764AF3"/>
    <w:rsid w:val="007713DF"/>
    <w:rsid w:val="007860A9"/>
    <w:rsid w:val="007A58FB"/>
    <w:rsid w:val="007C7CA8"/>
    <w:rsid w:val="007E5C75"/>
    <w:rsid w:val="00816BF1"/>
    <w:rsid w:val="00852639"/>
    <w:rsid w:val="00853C65"/>
    <w:rsid w:val="00862A29"/>
    <w:rsid w:val="00874A67"/>
    <w:rsid w:val="008A6533"/>
    <w:rsid w:val="008B0F0E"/>
    <w:rsid w:val="008B6649"/>
    <w:rsid w:val="008D16F9"/>
    <w:rsid w:val="008F6AB0"/>
    <w:rsid w:val="00921A28"/>
    <w:rsid w:val="00931A5D"/>
    <w:rsid w:val="0093411C"/>
    <w:rsid w:val="00956CF9"/>
    <w:rsid w:val="0097471D"/>
    <w:rsid w:val="00985025"/>
    <w:rsid w:val="00985128"/>
    <w:rsid w:val="009863DF"/>
    <w:rsid w:val="009A2FAE"/>
    <w:rsid w:val="009D7232"/>
    <w:rsid w:val="00A26D3B"/>
    <w:rsid w:val="00A52CD6"/>
    <w:rsid w:val="00A63CA0"/>
    <w:rsid w:val="00A74495"/>
    <w:rsid w:val="00A94F8F"/>
    <w:rsid w:val="00AA3C75"/>
    <w:rsid w:val="00AB5AA6"/>
    <w:rsid w:val="00AD0AE7"/>
    <w:rsid w:val="00AE5A72"/>
    <w:rsid w:val="00B03440"/>
    <w:rsid w:val="00B10CFA"/>
    <w:rsid w:val="00B1251D"/>
    <w:rsid w:val="00B342AB"/>
    <w:rsid w:val="00B42281"/>
    <w:rsid w:val="00B6569E"/>
    <w:rsid w:val="00B847C2"/>
    <w:rsid w:val="00C518FC"/>
    <w:rsid w:val="00C70357"/>
    <w:rsid w:val="00C7160C"/>
    <w:rsid w:val="00C73156"/>
    <w:rsid w:val="00C7475C"/>
    <w:rsid w:val="00C76D66"/>
    <w:rsid w:val="00C82C05"/>
    <w:rsid w:val="00C83C42"/>
    <w:rsid w:val="00CA4B44"/>
    <w:rsid w:val="00D07311"/>
    <w:rsid w:val="00D264FD"/>
    <w:rsid w:val="00D27EA1"/>
    <w:rsid w:val="00D75BEB"/>
    <w:rsid w:val="00D77F3D"/>
    <w:rsid w:val="00D81811"/>
    <w:rsid w:val="00D83669"/>
    <w:rsid w:val="00DA6D81"/>
    <w:rsid w:val="00DC4364"/>
    <w:rsid w:val="00DD2D6C"/>
    <w:rsid w:val="00DD6FB6"/>
    <w:rsid w:val="00DE7261"/>
    <w:rsid w:val="00DF62C2"/>
    <w:rsid w:val="00E52E30"/>
    <w:rsid w:val="00E53DD0"/>
    <w:rsid w:val="00E6768A"/>
    <w:rsid w:val="00E85949"/>
    <w:rsid w:val="00EC41B8"/>
    <w:rsid w:val="00ED5EFB"/>
    <w:rsid w:val="00EE2307"/>
    <w:rsid w:val="00EF03F0"/>
    <w:rsid w:val="00F1105A"/>
    <w:rsid w:val="00F25C9B"/>
    <w:rsid w:val="00F44922"/>
    <w:rsid w:val="00F73D1F"/>
    <w:rsid w:val="00FC2ACF"/>
    <w:rsid w:val="00FC6294"/>
    <w:rsid w:val="00FD66E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3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4B"/>
    <w:pPr>
      <w:widowControl w:val="0"/>
      <w:snapToGrid w:val="0"/>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7344B"/>
    <w:pPr>
      <w:jc w:val="both"/>
    </w:pPr>
  </w:style>
  <w:style w:type="character" w:customStyle="1" w:styleId="BodyTextChar">
    <w:name w:val="Body Text Char"/>
    <w:basedOn w:val="DefaultParagraphFont"/>
    <w:link w:val="BodyText"/>
    <w:semiHidden/>
    <w:rsid w:val="0017344B"/>
    <w:rPr>
      <w:rFonts w:ascii="Times New Roman" w:eastAsia="Times New Roman" w:hAnsi="Times New Roman" w:cs="Times New Roman"/>
      <w:szCs w:val="20"/>
      <w:lang w:val="en-GB"/>
    </w:rPr>
  </w:style>
  <w:style w:type="paragraph" w:styleId="ListParagraph">
    <w:name w:val="List Paragraph"/>
    <w:basedOn w:val="Normal"/>
    <w:uiPriority w:val="34"/>
    <w:qFormat/>
    <w:rsid w:val="00C82C05"/>
    <w:pPr>
      <w:ind w:left="720"/>
      <w:contextualSpacing/>
    </w:pPr>
  </w:style>
  <w:style w:type="paragraph" w:styleId="BalloonText">
    <w:name w:val="Balloon Text"/>
    <w:basedOn w:val="Normal"/>
    <w:link w:val="BalloonTextChar"/>
    <w:uiPriority w:val="99"/>
    <w:semiHidden/>
    <w:unhideWhenUsed/>
    <w:rsid w:val="006D14A8"/>
    <w:rPr>
      <w:rFonts w:ascii="Tahoma" w:hAnsi="Tahoma" w:cs="Tahoma"/>
      <w:sz w:val="16"/>
      <w:szCs w:val="16"/>
    </w:rPr>
  </w:style>
  <w:style w:type="character" w:customStyle="1" w:styleId="BalloonTextChar">
    <w:name w:val="Balloon Text Char"/>
    <w:basedOn w:val="DefaultParagraphFont"/>
    <w:link w:val="BalloonText"/>
    <w:uiPriority w:val="99"/>
    <w:semiHidden/>
    <w:rsid w:val="006D14A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D14A8"/>
    <w:rPr>
      <w:sz w:val="16"/>
      <w:szCs w:val="16"/>
    </w:rPr>
  </w:style>
  <w:style w:type="paragraph" w:styleId="CommentText">
    <w:name w:val="annotation text"/>
    <w:basedOn w:val="Normal"/>
    <w:link w:val="CommentTextChar"/>
    <w:uiPriority w:val="99"/>
    <w:semiHidden/>
    <w:unhideWhenUsed/>
    <w:rsid w:val="006D14A8"/>
    <w:rPr>
      <w:sz w:val="20"/>
    </w:rPr>
  </w:style>
  <w:style w:type="character" w:customStyle="1" w:styleId="CommentTextChar">
    <w:name w:val="Comment Text Char"/>
    <w:basedOn w:val="DefaultParagraphFont"/>
    <w:link w:val="CommentText"/>
    <w:uiPriority w:val="99"/>
    <w:semiHidden/>
    <w:rsid w:val="006D14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14A8"/>
    <w:rPr>
      <w:b/>
      <w:bCs/>
    </w:rPr>
  </w:style>
  <w:style w:type="character" w:customStyle="1" w:styleId="CommentSubjectChar">
    <w:name w:val="Comment Subject Char"/>
    <w:basedOn w:val="CommentTextChar"/>
    <w:link w:val="CommentSubject"/>
    <w:uiPriority w:val="99"/>
    <w:semiHidden/>
    <w:rsid w:val="006D14A8"/>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A63CA0"/>
    <w:rPr>
      <w:color w:val="0000FF" w:themeColor="hyperlink"/>
      <w:u w:val="single"/>
    </w:rPr>
  </w:style>
  <w:style w:type="table" w:styleId="TableGrid">
    <w:name w:val="Table Grid"/>
    <w:basedOn w:val="TableNormal"/>
    <w:uiPriority w:val="59"/>
    <w:rsid w:val="0053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5025"/>
    <w:pPr>
      <w:tabs>
        <w:tab w:val="center" w:pos="4320"/>
        <w:tab w:val="right" w:pos="8640"/>
      </w:tabs>
    </w:pPr>
  </w:style>
  <w:style w:type="character" w:customStyle="1" w:styleId="HeaderChar">
    <w:name w:val="Header Char"/>
    <w:basedOn w:val="DefaultParagraphFont"/>
    <w:link w:val="Header"/>
    <w:uiPriority w:val="99"/>
    <w:semiHidden/>
    <w:rsid w:val="00985025"/>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85025"/>
    <w:pPr>
      <w:tabs>
        <w:tab w:val="center" w:pos="4320"/>
        <w:tab w:val="right" w:pos="8640"/>
      </w:tabs>
    </w:pPr>
  </w:style>
  <w:style w:type="character" w:customStyle="1" w:styleId="FooterChar">
    <w:name w:val="Footer Char"/>
    <w:basedOn w:val="DefaultParagraphFont"/>
    <w:link w:val="Footer"/>
    <w:uiPriority w:val="99"/>
    <w:rsid w:val="00985025"/>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4B"/>
    <w:pPr>
      <w:widowControl w:val="0"/>
      <w:snapToGrid w:val="0"/>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7344B"/>
    <w:pPr>
      <w:jc w:val="both"/>
    </w:pPr>
  </w:style>
  <w:style w:type="character" w:customStyle="1" w:styleId="BodyTextChar">
    <w:name w:val="Body Text Char"/>
    <w:basedOn w:val="DefaultParagraphFont"/>
    <w:link w:val="BodyText"/>
    <w:semiHidden/>
    <w:rsid w:val="0017344B"/>
    <w:rPr>
      <w:rFonts w:ascii="Times New Roman" w:eastAsia="Times New Roman" w:hAnsi="Times New Roman" w:cs="Times New Roman"/>
      <w:szCs w:val="20"/>
      <w:lang w:val="en-GB"/>
    </w:rPr>
  </w:style>
  <w:style w:type="paragraph" w:styleId="ListParagraph">
    <w:name w:val="List Paragraph"/>
    <w:basedOn w:val="Normal"/>
    <w:uiPriority w:val="34"/>
    <w:qFormat/>
    <w:rsid w:val="00C82C05"/>
    <w:pPr>
      <w:ind w:left="720"/>
      <w:contextualSpacing/>
    </w:pPr>
  </w:style>
  <w:style w:type="paragraph" w:styleId="BalloonText">
    <w:name w:val="Balloon Text"/>
    <w:basedOn w:val="Normal"/>
    <w:link w:val="BalloonTextChar"/>
    <w:uiPriority w:val="99"/>
    <w:semiHidden/>
    <w:unhideWhenUsed/>
    <w:rsid w:val="006D14A8"/>
    <w:rPr>
      <w:rFonts w:ascii="Tahoma" w:hAnsi="Tahoma" w:cs="Tahoma"/>
      <w:sz w:val="16"/>
      <w:szCs w:val="16"/>
    </w:rPr>
  </w:style>
  <w:style w:type="character" w:customStyle="1" w:styleId="BalloonTextChar">
    <w:name w:val="Balloon Text Char"/>
    <w:basedOn w:val="DefaultParagraphFont"/>
    <w:link w:val="BalloonText"/>
    <w:uiPriority w:val="99"/>
    <w:semiHidden/>
    <w:rsid w:val="006D14A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D14A8"/>
    <w:rPr>
      <w:sz w:val="16"/>
      <w:szCs w:val="16"/>
    </w:rPr>
  </w:style>
  <w:style w:type="paragraph" w:styleId="CommentText">
    <w:name w:val="annotation text"/>
    <w:basedOn w:val="Normal"/>
    <w:link w:val="CommentTextChar"/>
    <w:uiPriority w:val="99"/>
    <w:semiHidden/>
    <w:unhideWhenUsed/>
    <w:rsid w:val="006D14A8"/>
    <w:rPr>
      <w:sz w:val="20"/>
    </w:rPr>
  </w:style>
  <w:style w:type="character" w:customStyle="1" w:styleId="CommentTextChar">
    <w:name w:val="Comment Text Char"/>
    <w:basedOn w:val="DefaultParagraphFont"/>
    <w:link w:val="CommentText"/>
    <w:uiPriority w:val="99"/>
    <w:semiHidden/>
    <w:rsid w:val="006D14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14A8"/>
    <w:rPr>
      <w:b/>
      <w:bCs/>
    </w:rPr>
  </w:style>
  <w:style w:type="character" w:customStyle="1" w:styleId="CommentSubjectChar">
    <w:name w:val="Comment Subject Char"/>
    <w:basedOn w:val="CommentTextChar"/>
    <w:link w:val="CommentSubject"/>
    <w:uiPriority w:val="99"/>
    <w:semiHidden/>
    <w:rsid w:val="006D14A8"/>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A63CA0"/>
    <w:rPr>
      <w:color w:val="0000FF" w:themeColor="hyperlink"/>
      <w:u w:val="single"/>
    </w:rPr>
  </w:style>
  <w:style w:type="table" w:styleId="TableGrid">
    <w:name w:val="Table Grid"/>
    <w:basedOn w:val="TableNormal"/>
    <w:uiPriority w:val="59"/>
    <w:rsid w:val="0053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5025"/>
    <w:pPr>
      <w:tabs>
        <w:tab w:val="center" w:pos="4320"/>
        <w:tab w:val="right" w:pos="8640"/>
      </w:tabs>
    </w:pPr>
  </w:style>
  <w:style w:type="character" w:customStyle="1" w:styleId="HeaderChar">
    <w:name w:val="Header Char"/>
    <w:basedOn w:val="DefaultParagraphFont"/>
    <w:link w:val="Header"/>
    <w:uiPriority w:val="99"/>
    <w:semiHidden/>
    <w:rsid w:val="00985025"/>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85025"/>
    <w:pPr>
      <w:tabs>
        <w:tab w:val="center" w:pos="4320"/>
        <w:tab w:val="right" w:pos="8640"/>
      </w:tabs>
    </w:pPr>
  </w:style>
  <w:style w:type="character" w:customStyle="1" w:styleId="FooterChar">
    <w:name w:val="Footer Char"/>
    <w:basedOn w:val="DefaultParagraphFont"/>
    <w:link w:val="Footer"/>
    <w:uiPriority w:val="99"/>
    <w:rsid w:val="00985025"/>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576">
      <w:bodyDiv w:val="1"/>
      <w:marLeft w:val="0"/>
      <w:marRight w:val="0"/>
      <w:marTop w:val="0"/>
      <w:marBottom w:val="0"/>
      <w:divBdr>
        <w:top w:val="none" w:sz="0" w:space="0" w:color="auto"/>
        <w:left w:val="none" w:sz="0" w:space="0" w:color="auto"/>
        <w:bottom w:val="none" w:sz="0" w:space="0" w:color="auto"/>
        <w:right w:val="none" w:sz="0" w:space="0" w:color="auto"/>
      </w:divBdr>
    </w:div>
    <w:div w:id="966740938">
      <w:bodyDiv w:val="1"/>
      <w:marLeft w:val="0"/>
      <w:marRight w:val="0"/>
      <w:marTop w:val="0"/>
      <w:marBottom w:val="0"/>
      <w:divBdr>
        <w:top w:val="none" w:sz="0" w:space="0" w:color="auto"/>
        <w:left w:val="none" w:sz="0" w:space="0" w:color="auto"/>
        <w:bottom w:val="none" w:sz="0" w:space="0" w:color="auto"/>
        <w:right w:val="none" w:sz="0" w:space="0" w:color="auto"/>
      </w:divBdr>
    </w:div>
    <w:div w:id="17126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ha.thabit@unhabitat.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00051414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ATLASPDC-4-27047</_dlc_DocId>
    <_dlc_DocIdUrl xmlns="f1161f5b-24a3-4c2d-bc81-44cb9325e8ee">
      <Url>https://info.undp.org/docs/pdc/_layouts/DocIdRedir.aspx?ID=ATLASPDC-4-27047</Url>
      <Description>ATLASPDC-4-27047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68B302C-1E98-48CF-9DA2-491AE1AE11A7}"/>
</file>

<file path=customXml/itemProps2.xml><?xml version="1.0" encoding="utf-8"?>
<ds:datastoreItem xmlns:ds="http://schemas.openxmlformats.org/officeDocument/2006/customXml" ds:itemID="{FEBA8D0A-7018-4435-B957-84ECC46641A7}"/>
</file>

<file path=customXml/itemProps3.xml><?xml version="1.0" encoding="utf-8"?>
<ds:datastoreItem xmlns:ds="http://schemas.openxmlformats.org/officeDocument/2006/customXml" ds:itemID="{73668731-EC6D-43F6-9A62-FF6657025E88}"/>
</file>

<file path=customXml/itemProps4.xml><?xml version="1.0" encoding="utf-8"?>
<ds:datastoreItem xmlns:ds="http://schemas.openxmlformats.org/officeDocument/2006/customXml" ds:itemID="{92E0C6D8-5A7A-4CCF-A0A9-35D75625FE09}"/>
</file>

<file path=customXml/itemProps5.xml><?xml version="1.0" encoding="utf-8"?>
<ds:datastoreItem xmlns:ds="http://schemas.openxmlformats.org/officeDocument/2006/customXml" ds:itemID="{9445D854-66CE-48A0-919E-213943E2DAB6}"/>
</file>

<file path=customXml/itemProps6.xml><?xml version="1.0" encoding="utf-8"?>
<ds:datastoreItem xmlns:ds="http://schemas.openxmlformats.org/officeDocument/2006/customXml" ds:itemID="{94CBAE5C-4619-4193-A670-F8F38BD2370C}"/>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maha.thabit</dc:creator>
  <cp:lastModifiedBy>Mizuho Yokoi</cp:lastModifiedBy>
  <cp:revision>2</cp:revision>
  <cp:lastPrinted>2013-01-16T11:25:00Z</cp:lastPrinted>
  <dcterms:created xsi:type="dcterms:W3CDTF">2014-12-23T09:26:00Z</dcterms:created>
  <dcterms:modified xsi:type="dcterms:W3CDTF">2014-12-23T09:26:00Z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1ae0513c-556e-4b6f-a65e-22853539bbea</vt:lpwstr>
  </property>
  <property fmtid="{D5CDD505-2E9C-101B-9397-08002B2CF9AE}" pid="18" name="URL">
    <vt:lpwstr/>
  </property>
  <property fmtid="{D5CDD505-2E9C-101B-9397-08002B2CF9AE}" pid="19" name="DocumentSetDescription">
    <vt:lpwstr/>
  </property>
</Properties>
</file>